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6B4CE3DC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2B1DF4">
        <w:rPr>
          <w:rFonts w:ascii="Calibri" w:hAnsi="Calibri"/>
          <w:sz w:val="18"/>
          <w:szCs w:val="22"/>
        </w:rPr>
        <w:t xml:space="preserve">Przebudowa </w:t>
      </w:r>
      <w:r w:rsidR="0004433B">
        <w:rPr>
          <w:rFonts w:ascii="Calibri" w:hAnsi="Calibri"/>
          <w:sz w:val="18"/>
          <w:szCs w:val="22"/>
        </w:rPr>
        <w:t>drogi gminnej w Starym Folwarku”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2D92900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04433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wykonałem/-am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000000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27D90"/>
    <w:rsid w:val="00337904"/>
    <w:rsid w:val="003B1BB2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6</cp:revision>
  <cp:lastPrinted>2022-04-07T11:14:00Z</cp:lastPrinted>
  <dcterms:created xsi:type="dcterms:W3CDTF">2021-05-05T08:45:00Z</dcterms:created>
  <dcterms:modified xsi:type="dcterms:W3CDTF">2023-02-27T08:19:00Z</dcterms:modified>
</cp:coreProperties>
</file>