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151A" w14:textId="77777777" w:rsidR="003C53DA" w:rsidRDefault="003C53DA" w:rsidP="00D907EB">
      <w:pPr>
        <w:pStyle w:val="Nagwek20"/>
        <w:keepNext/>
        <w:keepLines/>
        <w:spacing w:after="100" w:line="276" w:lineRule="auto"/>
        <w:rPr>
          <w:rStyle w:val="Nagwek2"/>
          <w:b/>
          <w:bCs/>
          <w:sz w:val="22"/>
          <w:szCs w:val="22"/>
        </w:rPr>
      </w:pPr>
      <w:bookmarkStart w:id="0" w:name="bookmark4"/>
    </w:p>
    <w:p w14:paraId="6BA04C6D" w14:textId="77777777" w:rsidR="003C53DA" w:rsidRDefault="003C53DA" w:rsidP="003C53DA">
      <w:pPr>
        <w:pStyle w:val="Nagwek20"/>
        <w:keepNext/>
        <w:keepLines/>
        <w:spacing w:after="100" w:line="276" w:lineRule="auto"/>
        <w:jc w:val="left"/>
        <w:rPr>
          <w:rStyle w:val="Nagwek2"/>
          <w:b/>
          <w:bCs/>
          <w:sz w:val="22"/>
          <w:szCs w:val="22"/>
        </w:rPr>
      </w:pPr>
    </w:p>
    <w:p w14:paraId="7FA0E476" w14:textId="77777777" w:rsidR="00EC520E" w:rsidRPr="00AC01C1" w:rsidRDefault="00EC520E" w:rsidP="00D907EB">
      <w:pPr>
        <w:pStyle w:val="Nagwek20"/>
        <w:keepNext/>
        <w:keepLines/>
        <w:spacing w:after="100" w:line="276" w:lineRule="auto"/>
        <w:rPr>
          <w:rStyle w:val="Nagwek2"/>
          <w:b/>
          <w:bCs/>
          <w:sz w:val="22"/>
          <w:szCs w:val="22"/>
        </w:rPr>
      </w:pPr>
      <w:r w:rsidRPr="00AC01C1">
        <w:rPr>
          <w:rStyle w:val="Nagwek2"/>
          <w:b/>
          <w:bCs/>
          <w:sz w:val="22"/>
          <w:szCs w:val="22"/>
        </w:rPr>
        <w:t>Załącznik nr 5 do regulaminu konkursu</w:t>
      </w:r>
      <w:bookmarkEnd w:id="0"/>
    </w:p>
    <w:p w14:paraId="5A696E3D" w14:textId="6A3E38D2" w:rsidR="00EC520E" w:rsidRPr="00B26D8B" w:rsidRDefault="00C57DA9" w:rsidP="003F3FAC">
      <w:pPr>
        <w:pStyle w:val="Nagwek20"/>
        <w:keepNext/>
        <w:keepLines/>
        <w:spacing w:after="100" w:line="276" w:lineRule="auto"/>
        <w:rPr>
          <w:lang w:bidi="pl-PL"/>
        </w:rPr>
      </w:pPr>
      <w:r w:rsidRPr="00AC01C1">
        <w:rPr>
          <w:sz w:val="22"/>
          <w:szCs w:val="22"/>
          <w:lang w:bidi="pl-PL"/>
        </w:rPr>
        <w:t xml:space="preserve">na </w:t>
      </w:r>
      <w:bookmarkStart w:id="1" w:name="_Hlk133664047"/>
      <w:r w:rsidR="00BC3535" w:rsidRPr="00AC01C1">
        <w:rPr>
          <w:lang w:bidi="pl-PL"/>
        </w:rPr>
        <w:t>powierzenie działalności, o której mowa w art. 3 ust. 1 ustawy o wspieraniu rozwoju usług i sieci telekomunikacyjnych wraz z udzieleniem dotacji celowej przez</w:t>
      </w:r>
      <w:r w:rsidR="003F3FAC" w:rsidRPr="003F3FAC">
        <w:rPr>
          <w:lang w:bidi="pl-PL"/>
        </w:rPr>
        <w:t xml:space="preserve"> Gminę </w:t>
      </w:r>
      <w:r w:rsidR="00B528DB">
        <w:rPr>
          <w:lang w:bidi="pl-PL"/>
        </w:rPr>
        <w:t xml:space="preserve">Miedzichowo </w:t>
      </w:r>
      <w:r w:rsidR="00BC3535" w:rsidRPr="00AC01C1">
        <w:rPr>
          <w:sz w:val="22"/>
          <w:szCs w:val="22"/>
          <w:lang w:bidi="pl-PL"/>
        </w:rPr>
        <w:t xml:space="preserve">na współfinansowanie kosztów ponoszonych z tytułu świadczenia usług telekomunikacyjnych użytkownikom końcowym lub przedsiębiorcom telekomunikacyjnym na potrzeby świadczenia tych usług, w </w:t>
      </w:r>
      <w:r w:rsidR="00250699">
        <w:rPr>
          <w:sz w:val="22"/>
          <w:szCs w:val="22"/>
          <w:lang w:bidi="pl-PL"/>
        </w:rPr>
        <w:t>tym</w:t>
      </w:r>
      <w:r w:rsidR="00BC3535" w:rsidRPr="00AC01C1">
        <w:rPr>
          <w:sz w:val="22"/>
          <w:szCs w:val="22"/>
          <w:lang w:bidi="pl-PL"/>
        </w:rPr>
        <w:t xml:space="preserve"> kosztów </w:t>
      </w:r>
      <w:r w:rsidR="00EC520E" w:rsidRPr="00AC01C1">
        <w:rPr>
          <w:rStyle w:val="Nagwek2"/>
          <w:b/>
          <w:bCs/>
          <w:sz w:val="22"/>
          <w:szCs w:val="22"/>
        </w:rPr>
        <w:t>budow</w:t>
      </w:r>
      <w:r w:rsidR="00BC3535" w:rsidRPr="00AC01C1">
        <w:rPr>
          <w:rStyle w:val="Nagwek2"/>
          <w:b/>
          <w:bCs/>
          <w:sz w:val="22"/>
          <w:szCs w:val="22"/>
        </w:rPr>
        <w:t>y</w:t>
      </w:r>
      <w:r w:rsidR="00EC520E" w:rsidRPr="00AC01C1">
        <w:rPr>
          <w:rStyle w:val="Nagwek2"/>
          <w:b/>
          <w:bCs/>
          <w:sz w:val="22"/>
          <w:szCs w:val="22"/>
        </w:rPr>
        <w:t xml:space="preserve"> szybki</w:t>
      </w:r>
      <w:r w:rsidR="00366E23" w:rsidRPr="00AC01C1">
        <w:rPr>
          <w:rStyle w:val="Nagwek2"/>
          <w:b/>
          <w:bCs/>
          <w:sz w:val="22"/>
          <w:szCs w:val="22"/>
        </w:rPr>
        <w:t>ej sieci telekomunikacyjnej</w:t>
      </w:r>
      <w:r w:rsidR="00EC520E" w:rsidRPr="00AC01C1">
        <w:rPr>
          <w:rStyle w:val="Nagwek2"/>
          <w:b/>
          <w:bCs/>
          <w:sz w:val="22"/>
          <w:szCs w:val="22"/>
        </w:rPr>
        <w:t xml:space="preserve"> umożliwiając</w:t>
      </w:r>
      <w:r w:rsidR="00366E23" w:rsidRPr="00AC01C1">
        <w:rPr>
          <w:rStyle w:val="Nagwek2"/>
          <w:b/>
          <w:bCs/>
          <w:sz w:val="22"/>
          <w:szCs w:val="22"/>
        </w:rPr>
        <w:t>ej</w:t>
      </w:r>
      <w:r w:rsidR="00EC520E" w:rsidRPr="00AC01C1">
        <w:rPr>
          <w:rStyle w:val="Nagwek2"/>
          <w:b/>
          <w:bCs/>
          <w:sz w:val="22"/>
          <w:szCs w:val="22"/>
        </w:rPr>
        <w:t xml:space="preserve"> w sposób niezawodny świadczenie usług dostępu do Internetu o gwarantowan</w:t>
      </w:r>
      <w:r w:rsidR="00ED45DB" w:rsidRPr="00AC01C1">
        <w:rPr>
          <w:rStyle w:val="Nagwek2"/>
          <w:b/>
          <w:bCs/>
          <w:sz w:val="22"/>
          <w:szCs w:val="22"/>
        </w:rPr>
        <w:t>ej</w:t>
      </w:r>
      <w:r w:rsidR="00EC520E" w:rsidRPr="00AC01C1">
        <w:rPr>
          <w:rStyle w:val="Nagwek2"/>
          <w:b/>
          <w:bCs/>
          <w:sz w:val="22"/>
          <w:szCs w:val="22"/>
        </w:rPr>
        <w:t xml:space="preserve"> przepustowości </w:t>
      </w:r>
      <w:r w:rsidR="00EC520E" w:rsidRPr="00AC01C1">
        <w:rPr>
          <w:sz w:val="22"/>
          <w:szCs w:val="22"/>
        </w:rPr>
        <w:t xml:space="preserve">co najmniej 300 </w:t>
      </w:r>
      <w:proofErr w:type="spellStart"/>
      <w:r w:rsidR="00EC520E" w:rsidRPr="00AC01C1">
        <w:rPr>
          <w:sz w:val="22"/>
          <w:szCs w:val="22"/>
        </w:rPr>
        <w:t>Mb</w:t>
      </w:r>
      <w:proofErr w:type="spellEnd"/>
      <w:r w:rsidR="00EC520E" w:rsidRPr="00AC01C1">
        <w:rPr>
          <w:sz w:val="22"/>
          <w:szCs w:val="22"/>
        </w:rPr>
        <w:t xml:space="preserve">/s (pobieranie danych) i co najmniej 100 </w:t>
      </w:r>
      <w:proofErr w:type="spellStart"/>
      <w:r w:rsidR="00EC520E" w:rsidRPr="00AC01C1">
        <w:rPr>
          <w:sz w:val="22"/>
          <w:szCs w:val="22"/>
        </w:rPr>
        <w:t>Mb</w:t>
      </w:r>
      <w:proofErr w:type="spellEnd"/>
      <w:r w:rsidR="00EC520E" w:rsidRPr="00AC01C1">
        <w:rPr>
          <w:sz w:val="22"/>
          <w:szCs w:val="22"/>
        </w:rPr>
        <w:t>/s (wysyłanie danych), z możliwością świadczenia usług dostępu do Internetu o przepustowości</w:t>
      </w:r>
      <w:r w:rsidR="00ED45DB" w:rsidRPr="00AC01C1">
        <w:rPr>
          <w:sz w:val="22"/>
          <w:szCs w:val="22"/>
        </w:rPr>
        <w:t>ach</w:t>
      </w:r>
      <w:r w:rsidR="00EC520E" w:rsidRPr="00AC01C1">
        <w:rPr>
          <w:sz w:val="22"/>
          <w:szCs w:val="22"/>
        </w:rPr>
        <w:t xml:space="preserve"> gigabitowych</w:t>
      </w:r>
      <w:bookmarkEnd w:id="1"/>
    </w:p>
    <w:p w14:paraId="19B6FF3E" w14:textId="77777777" w:rsidR="00EC520E" w:rsidRPr="00AC01C1" w:rsidRDefault="00EC520E" w:rsidP="00D907EB">
      <w:pPr>
        <w:pStyle w:val="Nagwek20"/>
        <w:keepNext/>
        <w:keepLines/>
        <w:spacing w:after="100" w:line="276" w:lineRule="auto"/>
        <w:jc w:val="left"/>
        <w:rPr>
          <w:sz w:val="22"/>
          <w:szCs w:val="22"/>
        </w:rPr>
      </w:pPr>
    </w:p>
    <w:p w14:paraId="1C6AA247" w14:textId="77777777" w:rsidR="00EC520E" w:rsidRPr="00AC01C1" w:rsidRDefault="00EC520E" w:rsidP="00D907EB">
      <w:pPr>
        <w:pStyle w:val="Nagwek20"/>
        <w:keepNext/>
        <w:keepLines/>
        <w:spacing w:after="100" w:line="276" w:lineRule="auto"/>
        <w:jc w:val="left"/>
        <w:rPr>
          <w:sz w:val="22"/>
          <w:szCs w:val="22"/>
        </w:rPr>
      </w:pPr>
    </w:p>
    <w:p w14:paraId="41E02C79" w14:textId="77777777" w:rsidR="009246AD" w:rsidRPr="00AC01C1" w:rsidRDefault="00EC520E" w:rsidP="00D907EB">
      <w:pPr>
        <w:pStyle w:val="Nagwek20"/>
        <w:keepNext/>
        <w:keepLines/>
        <w:spacing w:after="100" w:line="276" w:lineRule="auto"/>
        <w:rPr>
          <w:sz w:val="22"/>
          <w:szCs w:val="22"/>
        </w:rPr>
      </w:pPr>
      <w:r w:rsidRPr="00AC01C1">
        <w:rPr>
          <w:sz w:val="22"/>
          <w:szCs w:val="22"/>
        </w:rPr>
        <w:t>Katalog wydatków kwalifikowalnych</w:t>
      </w:r>
      <w:r w:rsidR="009246AD" w:rsidRPr="00AC01C1">
        <w:rPr>
          <w:sz w:val="22"/>
          <w:szCs w:val="22"/>
        </w:rPr>
        <w:t xml:space="preserve"> </w:t>
      </w:r>
    </w:p>
    <w:p w14:paraId="5016FE04" w14:textId="77777777" w:rsidR="00EC520E" w:rsidRPr="00AC01C1" w:rsidRDefault="009246AD" w:rsidP="00D907EB">
      <w:pPr>
        <w:pStyle w:val="Nagwek20"/>
        <w:keepNext/>
        <w:keepLines/>
        <w:spacing w:after="100" w:line="276" w:lineRule="auto"/>
        <w:rPr>
          <w:sz w:val="22"/>
          <w:szCs w:val="22"/>
        </w:rPr>
      </w:pPr>
      <w:r w:rsidRPr="00AC01C1">
        <w:rPr>
          <w:sz w:val="22"/>
          <w:szCs w:val="22"/>
        </w:rPr>
        <w:t>oraz wymagania w zakresie kwalifikowalności wydatków</w:t>
      </w:r>
    </w:p>
    <w:p w14:paraId="1D1BB40D" w14:textId="77777777" w:rsidR="00EC520E" w:rsidRPr="00AC01C1" w:rsidRDefault="00EC520E" w:rsidP="00D907EB">
      <w:pPr>
        <w:pStyle w:val="Nagwek20"/>
        <w:keepNext/>
        <w:keepLines/>
        <w:spacing w:after="100" w:line="276" w:lineRule="auto"/>
        <w:jc w:val="left"/>
        <w:rPr>
          <w:sz w:val="22"/>
          <w:szCs w:val="22"/>
        </w:rPr>
      </w:pPr>
    </w:p>
    <w:p w14:paraId="4AD70CF8" w14:textId="77777777" w:rsidR="00EC520E" w:rsidRPr="00AC01C1" w:rsidRDefault="009246AD" w:rsidP="00D907EB">
      <w:pPr>
        <w:pStyle w:val="Nagwek20"/>
        <w:keepNext/>
        <w:keepLines/>
        <w:spacing w:after="100" w:line="276" w:lineRule="auto"/>
        <w:rPr>
          <w:sz w:val="22"/>
          <w:szCs w:val="22"/>
        </w:rPr>
      </w:pPr>
      <w:r w:rsidRPr="00AC01C1">
        <w:rPr>
          <w:sz w:val="22"/>
          <w:szCs w:val="22"/>
        </w:rPr>
        <w:t>§ 1</w:t>
      </w:r>
    </w:p>
    <w:p w14:paraId="3719736A" w14:textId="77777777" w:rsidR="00EC520E" w:rsidRPr="00AC01C1" w:rsidRDefault="00EC520E" w:rsidP="00242ACB">
      <w:pPr>
        <w:pStyle w:val="Nagwek20"/>
        <w:keepNext/>
        <w:keepLines/>
        <w:numPr>
          <w:ilvl w:val="0"/>
          <w:numId w:val="9"/>
        </w:numPr>
        <w:spacing w:after="100" w:line="276" w:lineRule="auto"/>
        <w:ind w:left="426"/>
        <w:jc w:val="both"/>
        <w:rPr>
          <w:b w:val="0"/>
          <w:bCs w:val="0"/>
          <w:sz w:val="22"/>
          <w:szCs w:val="22"/>
        </w:rPr>
      </w:pPr>
      <w:r w:rsidRPr="00AC01C1">
        <w:rPr>
          <w:b w:val="0"/>
          <w:bCs w:val="0"/>
          <w:sz w:val="22"/>
          <w:szCs w:val="22"/>
        </w:rPr>
        <w:t xml:space="preserve">Do wydatków kwalifikujących się do objęcia wsparciem zalicza się wydatki </w:t>
      </w:r>
      <w:r w:rsidR="004C0DE3" w:rsidRPr="00AC01C1">
        <w:rPr>
          <w:b w:val="0"/>
          <w:bCs w:val="0"/>
          <w:sz w:val="22"/>
          <w:szCs w:val="22"/>
        </w:rPr>
        <w:t xml:space="preserve">faktycznie poniesione </w:t>
      </w:r>
      <w:r w:rsidRPr="00AC01C1">
        <w:rPr>
          <w:b w:val="0"/>
          <w:bCs w:val="0"/>
          <w:sz w:val="22"/>
          <w:szCs w:val="22"/>
        </w:rPr>
        <w:t xml:space="preserve">na </w:t>
      </w:r>
      <w:r w:rsidR="004C0DE3" w:rsidRPr="00AC01C1">
        <w:rPr>
          <w:b w:val="0"/>
          <w:bCs w:val="0"/>
          <w:sz w:val="22"/>
          <w:szCs w:val="22"/>
        </w:rPr>
        <w:t xml:space="preserve">poniższe </w:t>
      </w:r>
      <w:r w:rsidRPr="00AC01C1">
        <w:rPr>
          <w:sz w:val="22"/>
          <w:szCs w:val="22"/>
        </w:rPr>
        <w:t>kategorie kosztów kwalifikowalnych</w:t>
      </w:r>
      <w:r w:rsidR="006F1EB1" w:rsidRPr="00AC01C1">
        <w:rPr>
          <w:b w:val="0"/>
          <w:bCs w:val="0"/>
          <w:sz w:val="22"/>
          <w:szCs w:val="22"/>
        </w:rPr>
        <w:t>, o których mowa w</w:t>
      </w:r>
      <w:r w:rsidRPr="00AC01C1">
        <w:rPr>
          <w:b w:val="0"/>
          <w:bCs w:val="0"/>
          <w:sz w:val="22"/>
          <w:szCs w:val="22"/>
        </w:rPr>
        <w:t xml:space="preserve"> art. 52 ust. 2 rozporządzenia Komisji (UE) nr 651/2014:</w:t>
      </w:r>
    </w:p>
    <w:p w14:paraId="666D83DF" w14:textId="77777777" w:rsidR="00EC520E" w:rsidRPr="00AC01C1" w:rsidRDefault="00EC520E" w:rsidP="00242ACB">
      <w:pPr>
        <w:pStyle w:val="Nagwek20"/>
        <w:keepNext/>
        <w:keepLines/>
        <w:numPr>
          <w:ilvl w:val="1"/>
          <w:numId w:val="10"/>
        </w:numPr>
        <w:spacing w:after="100" w:line="276" w:lineRule="auto"/>
        <w:ind w:left="426"/>
        <w:jc w:val="both"/>
        <w:rPr>
          <w:b w:val="0"/>
          <w:bCs w:val="0"/>
          <w:sz w:val="22"/>
          <w:szCs w:val="22"/>
        </w:rPr>
      </w:pPr>
      <w:r w:rsidRPr="00AC01C1">
        <w:rPr>
          <w:b w:val="0"/>
          <w:bCs w:val="0"/>
          <w:sz w:val="22"/>
          <w:szCs w:val="22"/>
        </w:rPr>
        <w:t>koszt</w:t>
      </w:r>
      <w:r w:rsidR="006F1EB1" w:rsidRPr="00AC01C1">
        <w:rPr>
          <w:b w:val="0"/>
          <w:bCs w:val="0"/>
          <w:sz w:val="22"/>
          <w:szCs w:val="22"/>
        </w:rPr>
        <w:t>y</w:t>
      </w:r>
      <w:r w:rsidRPr="00AC01C1">
        <w:rPr>
          <w:b w:val="0"/>
          <w:bCs w:val="0"/>
          <w:sz w:val="22"/>
          <w:szCs w:val="22"/>
        </w:rPr>
        <w:t xml:space="preserve"> inwestycyjn</w:t>
      </w:r>
      <w:r w:rsidR="006F1EB1" w:rsidRPr="00AC01C1">
        <w:rPr>
          <w:b w:val="0"/>
          <w:bCs w:val="0"/>
          <w:sz w:val="22"/>
          <w:szCs w:val="22"/>
        </w:rPr>
        <w:t>e</w:t>
      </w:r>
      <w:r w:rsidRPr="00AC01C1">
        <w:rPr>
          <w:b w:val="0"/>
          <w:bCs w:val="0"/>
          <w:sz w:val="22"/>
          <w:szCs w:val="22"/>
        </w:rPr>
        <w:t xml:space="preserve"> budowy pasywnej infrastruktury szerokopasmowej, w tym robót i materiałów budowlanych oraz dostaw i instalacji elementów pasywnej infrastruktury szerokopasmowej;</w:t>
      </w:r>
    </w:p>
    <w:p w14:paraId="1268DE1A" w14:textId="77777777" w:rsidR="00EC520E" w:rsidRPr="00AC01C1" w:rsidRDefault="00EC520E" w:rsidP="00242ACB">
      <w:pPr>
        <w:pStyle w:val="Nagwek20"/>
        <w:keepNext/>
        <w:keepLines/>
        <w:numPr>
          <w:ilvl w:val="1"/>
          <w:numId w:val="10"/>
        </w:numPr>
        <w:spacing w:after="100" w:line="276" w:lineRule="auto"/>
        <w:ind w:left="426"/>
        <w:jc w:val="both"/>
        <w:rPr>
          <w:b w:val="0"/>
          <w:bCs w:val="0"/>
          <w:sz w:val="22"/>
          <w:szCs w:val="22"/>
        </w:rPr>
      </w:pPr>
      <w:r w:rsidRPr="00AC01C1">
        <w:rPr>
          <w:b w:val="0"/>
          <w:bCs w:val="0"/>
          <w:sz w:val="22"/>
          <w:szCs w:val="22"/>
        </w:rPr>
        <w:t>koszt</w:t>
      </w:r>
      <w:r w:rsidR="006F1EB1" w:rsidRPr="00AC01C1">
        <w:rPr>
          <w:b w:val="0"/>
          <w:bCs w:val="0"/>
          <w:sz w:val="22"/>
          <w:szCs w:val="22"/>
        </w:rPr>
        <w:t>y</w:t>
      </w:r>
      <w:r w:rsidRPr="00AC01C1">
        <w:rPr>
          <w:b w:val="0"/>
          <w:bCs w:val="0"/>
          <w:sz w:val="22"/>
          <w:szCs w:val="22"/>
        </w:rPr>
        <w:t xml:space="preserve"> przygotowania dokumentacji niezbędnej do wykonania robót budowlanych,</w:t>
      </w:r>
      <w:r w:rsidR="00F64558" w:rsidRPr="005642B9">
        <w:rPr>
          <w:b w:val="0"/>
          <w:bCs w:val="0"/>
          <w:sz w:val="22"/>
          <w:szCs w:val="22"/>
        </w:rPr>
        <w:t xml:space="preserve"> w tym koszty n</w:t>
      </w:r>
      <w:r w:rsidR="00F64558" w:rsidRPr="00AC01C1">
        <w:rPr>
          <w:b w:val="0"/>
          <w:bCs w:val="0"/>
          <w:sz w:val="22"/>
          <w:szCs w:val="22"/>
        </w:rPr>
        <w:t>abycia praw autorskich,</w:t>
      </w:r>
    </w:p>
    <w:p w14:paraId="5C1D47FC" w14:textId="77777777" w:rsidR="00EC520E" w:rsidRPr="00E6059A" w:rsidRDefault="00EC520E" w:rsidP="00242ACB">
      <w:pPr>
        <w:pStyle w:val="Nagwek20"/>
        <w:keepNext/>
        <w:keepLines/>
        <w:numPr>
          <w:ilvl w:val="1"/>
          <w:numId w:val="10"/>
        </w:numPr>
        <w:spacing w:after="100" w:line="276" w:lineRule="auto"/>
        <w:ind w:left="426"/>
        <w:jc w:val="both"/>
        <w:rPr>
          <w:b w:val="0"/>
          <w:bCs w:val="0"/>
          <w:sz w:val="22"/>
          <w:szCs w:val="22"/>
        </w:rPr>
      </w:pPr>
      <w:r w:rsidRPr="00E6059A">
        <w:rPr>
          <w:b w:val="0"/>
          <w:bCs w:val="0"/>
          <w:sz w:val="22"/>
          <w:szCs w:val="22"/>
        </w:rPr>
        <w:t>koszt</w:t>
      </w:r>
      <w:r w:rsidR="006F1EB1" w:rsidRPr="00E6059A">
        <w:rPr>
          <w:b w:val="0"/>
          <w:bCs w:val="0"/>
          <w:sz w:val="22"/>
          <w:szCs w:val="22"/>
        </w:rPr>
        <w:t>y</w:t>
      </w:r>
      <w:r w:rsidRPr="00E6059A">
        <w:rPr>
          <w:b w:val="0"/>
          <w:bCs w:val="0"/>
          <w:sz w:val="22"/>
          <w:szCs w:val="22"/>
        </w:rPr>
        <w:t xml:space="preserve"> </w:t>
      </w:r>
      <w:r w:rsidR="00FC1042" w:rsidRPr="00E6059A">
        <w:rPr>
          <w:b w:val="0"/>
          <w:bCs w:val="0"/>
          <w:sz w:val="22"/>
          <w:szCs w:val="22"/>
        </w:rPr>
        <w:t xml:space="preserve">zakupu, najmu, dzierżawy, leasingu, </w:t>
      </w:r>
      <w:r w:rsidRPr="00E6059A">
        <w:rPr>
          <w:b w:val="0"/>
          <w:bCs w:val="0"/>
          <w:sz w:val="22"/>
          <w:szCs w:val="22"/>
        </w:rPr>
        <w:t xml:space="preserve">dostawy, instalacji i uruchomienia urządzeń telekomunikacyjnych stanowiących infrastrukturę aktywną szybkiej sieci </w:t>
      </w:r>
      <w:r w:rsidR="00366E23" w:rsidRPr="00E6059A">
        <w:rPr>
          <w:b w:val="0"/>
          <w:bCs w:val="0"/>
          <w:sz w:val="22"/>
          <w:szCs w:val="22"/>
        </w:rPr>
        <w:t>telekomunikacyjnej</w:t>
      </w:r>
      <w:r w:rsidR="00FC1042" w:rsidRPr="00E6059A">
        <w:rPr>
          <w:b w:val="0"/>
          <w:bCs w:val="0"/>
          <w:sz w:val="22"/>
          <w:szCs w:val="22"/>
        </w:rPr>
        <w:t>, przy czym nie obejmuje to telekomunikacyjnych urządzeń końcowych, ani infrastruktury aktywnej instalowanej w mieszkaniach użytkowników końcowych</w:t>
      </w:r>
      <w:r w:rsidR="00ED45DB" w:rsidRPr="00E6059A">
        <w:rPr>
          <w:b w:val="0"/>
          <w:bCs w:val="0"/>
          <w:sz w:val="22"/>
          <w:szCs w:val="22"/>
        </w:rPr>
        <w:t>;</w:t>
      </w:r>
    </w:p>
    <w:p w14:paraId="6A5F85C1" w14:textId="23B53AE1" w:rsidR="00EC520E" w:rsidRPr="00AC01C1" w:rsidRDefault="00EC520E" w:rsidP="00242ACB">
      <w:pPr>
        <w:pStyle w:val="Nagwek20"/>
        <w:keepNext/>
        <w:keepLines/>
        <w:numPr>
          <w:ilvl w:val="1"/>
          <w:numId w:val="10"/>
        </w:numPr>
        <w:spacing w:after="100" w:line="276" w:lineRule="auto"/>
        <w:ind w:left="426"/>
        <w:jc w:val="both"/>
        <w:rPr>
          <w:b w:val="0"/>
          <w:bCs w:val="0"/>
          <w:sz w:val="22"/>
          <w:szCs w:val="22"/>
        </w:rPr>
      </w:pPr>
      <w:r w:rsidRPr="00AC01C1">
        <w:rPr>
          <w:b w:val="0"/>
          <w:bCs w:val="0"/>
          <w:sz w:val="22"/>
          <w:szCs w:val="22"/>
        </w:rPr>
        <w:t>koszt</w:t>
      </w:r>
      <w:r w:rsidR="006F1EB1" w:rsidRPr="00AC01C1">
        <w:rPr>
          <w:b w:val="0"/>
          <w:bCs w:val="0"/>
          <w:sz w:val="22"/>
          <w:szCs w:val="22"/>
        </w:rPr>
        <w:t>y</w:t>
      </w:r>
      <w:r w:rsidRPr="00AC01C1">
        <w:rPr>
          <w:b w:val="0"/>
          <w:bCs w:val="0"/>
          <w:sz w:val="22"/>
          <w:szCs w:val="22"/>
        </w:rPr>
        <w:t xml:space="preserve"> najmu, dzierżawy lub leasingu pasywnej infrastruktury szerokopasmowej, a także elementów infrastruktury elektroenergetycznej, sanitarnej, wodociągowej oraz kanałów technologicznych w rozumieniu art. 4 pkt 15a ustawy z dnia 21 marca 1985 r. o drogach publicznych (</w:t>
      </w:r>
      <w:r w:rsidR="00E6059A" w:rsidRPr="00E6059A">
        <w:rPr>
          <w:b w:val="0"/>
          <w:bCs w:val="0"/>
          <w:sz w:val="22"/>
          <w:szCs w:val="22"/>
        </w:rPr>
        <w:t>t. jedn. Dz. U. z 2023 r. poz. 645 ze zm.</w:t>
      </w:r>
      <w:r w:rsidRPr="00AC01C1">
        <w:rPr>
          <w:b w:val="0"/>
          <w:bCs w:val="0"/>
          <w:sz w:val="22"/>
          <w:szCs w:val="22"/>
        </w:rPr>
        <w:t>);</w:t>
      </w:r>
    </w:p>
    <w:p w14:paraId="6D9B3CF0" w14:textId="77777777" w:rsidR="00EC520E" w:rsidRPr="00AC01C1" w:rsidRDefault="00DB2D02" w:rsidP="00242ACB">
      <w:pPr>
        <w:pStyle w:val="Nagwek20"/>
        <w:keepNext/>
        <w:keepLines/>
        <w:numPr>
          <w:ilvl w:val="1"/>
          <w:numId w:val="10"/>
        </w:numPr>
        <w:spacing w:after="100" w:line="276" w:lineRule="auto"/>
        <w:ind w:left="426"/>
        <w:jc w:val="both"/>
        <w:rPr>
          <w:b w:val="0"/>
          <w:bCs w:val="0"/>
          <w:sz w:val="22"/>
          <w:szCs w:val="22"/>
        </w:rPr>
      </w:pPr>
      <w:r w:rsidRPr="00AC01C1">
        <w:rPr>
          <w:b w:val="0"/>
          <w:bCs w:val="0"/>
          <w:sz w:val="22"/>
          <w:szCs w:val="22"/>
        </w:rPr>
        <w:t xml:space="preserve">pozostałe </w:t>
      </w:r>
      <w:r w:rsidR="00EC520E" w:rsidRPr="00AC01C1">
        <w:rPr>
          <w:b w:val="0"/>
          <w:bCs w:val="0"/>
          <w:sz w:val="22"/>
          <w:szCs w:val="22"/>
        </w:rPr>
        <w:t>koszt</w:t>
      </w:r>
      <w:r w:rsidR="006F1EB1" w:rsidRPr="00AC01C1">
        <w:rPr>
          <w:b w:val="0"/>
          <w:bCs w:val="0"/>
          <w:sz w:val="22"/>
          <w:szCs w:val="22"/>
        </w:rPr>
        <w:t>y</w:t>
      </w:r>
      <w:r w:rsidR="00EC520E" w:rsidRPr="00AC01C1">
        <w:rPr>
          <w:b w:val="0"/>
          <w:bCs w:val="0"/>
          <w:sz w:val="22"/>
          <w:szCs w:val="22"/>
        </w:rPr>
        <w:t xml:space="preserve"> </w:t>
      </w:r>
      <w:bookmarkStart w:id="2" w:name="_Hlk137203070"/>
      <w:r w:rsidR="00EC520E" w:rsidRPr="00AC01C1">
        <w:rPr>
          <w:b w:val="0"/>
          <w:bCs w:val="0"/>
          <w:sz w:val="22"/>
          <w:szCs w:val="22"/>
        </w:rPr>
        <w:t>inwestycyjn</w:t>
      </w:r>
      <w:r w:rsidR="006F1EB1" w:rsidRPr="00AC01C1">
        <w:rPr>
          <w:b w:val="0"/>
          <w:bCs w:val="0"/>
          <w:sz w:val="22"/>
          <w:szCs w:val="22"/>
        </w:rPr>
        <w:t>e</w:t>
      </w:r>
      <w:r w:rsidR="00EC520E" w:rsidRPr="00AC01C1">
        <w:rPr>
          <w:b w:val="0"/>
          <w:bCs w:val="0"/>
          <w:sz w:val="22"/>
          <w:szCs w:val="22"/>
        </w:rPr>
        <w:t xml:space="preserve"> budowy szybkiej sieci </w:t>
      </w:r>
      <w:r w:rsidR="00366E23" w:rsidRPr="00AC01C1">
        <w:rPr>
          <w:b w:val="0"/>
          <w:bCs w:val="0"/>
          <w:sz w:val="22"/>
          <w:szCs w:val="22"/>
        </w:rPr>
        <w:t>telekomunikacyjnej</w:t>
      </w:r>
      <w:bookmarkEnd w:id="2"/>
      <w:r w:rsidR="00EC520E" w:rsidRPr="00AC01C1">
        <w:rPr>
          <w:b w:val="0"/>
          <w:bCs w:val="0"/>
          <w:sz w:val="22"/>
          <w:szCs w:val="22"/>
        </w:rPr>
        <w:t xml:space="preserve">, w tym związanych z przebudową i rozbudową podstawowej sieci </w:t>
      </w:r>
      <w:r w:rsidR="00366E23" w:rsidRPr="00AC01C1">
        <w:rPr>
          <w:b w:val="0"/>
          <w:bCs w:val="0"/>
          <w:sz w:val="22"/>
          <w:szCs w:val="22"/>
        </w:rPr>
        <w:t>telekomunikacyjnej</w:t>
      </w:r>
      <w:r w:rsidR="00EC520E" w:rsidRPr="00AC01C1">
        <w:rPr>
          <w:b w:val="0"/>
          <w:bCs w:val="0"/>
          <w:sz w:val="22"/>
          <w:szCs w:val="22"/>
        </w:rPr>
        <w:t xml:space="preserve"> do standardu szybkiej sieci </w:t>
      </w:r>
      <w:r w:rsidR="00366E23" w:rsidRPr="00AC01C1">
        <w:rPr>
          <w:b w:val="0"/>
          <w:bCs w:val="0"/>
          <w:sz w:val="22"/>
          <w:szCs w:val="22"/>
        </w:rPr>
        <w:t>telekomunikacyjnej</w:t>
      </w:r>
      <w:r w:rsidR="00EC520E" w:rsidRPr="00AC01C1">
        <w:rPr>
          <w:b w:val="0"/>
          <w:bCs w:val="0"/>
          <w:sz w:val="22"/>
          <w:szCs w:val="22"/>
        </w:rPr>
        <w:t>;</w:t>
      </w:r>
    </w:p>
    <w:p w14:paraId="777DBEBE" w14:textId="77777777" w:rsidR="00EC520E" w:rsidRPr="00AC01C1" w:rsidRDefault="00EC520E" w:rsidP="00242ACB">
      <w:pPr>
        <w:pStyle w:val="Nagwek20"/>
        <w:keepNext/>
        <w:keepLines/>
        <w:numPr>
          <w:ilvl w:val="1"/>
          <w:numId w:val="10"/>
        </w:numPr>
        <w:spacing w:after="100" w:line="276" w:lineRule="auto"/>
        <w:ind w:left="426"/>
        <w:jc w:val="both"/>
        <w:rPr>
          <w:b w:val="0"/>
          <w:bCs w:val="0"/>
          <w:sz w:val="22"/>
          <w:szCs w:val="22"/>
        </w:rPr>
      </w:pPr>
      <w:r w:rsidRPr="00AC01C1">
        <w:rPr>
          <w:b w:val="0"/>
          <w:bCs w:val="0"/>
          <w:sz w:val="22"/>
          <w:szCs w:val="22"/>
        </w:rPr>
        <w:t>opłat</w:t>
      </w:r>
      <w:r w:rsidR="006F1EB1" w:rsidRPr="00AC01C1">
        <w:rPr>
          <w:b w:val="0"/>
          <w:bCs w:val="0"/>
          <w:sz w:val="22"/>
          <w:szCs w:val="22"/>
        </w:rPr>
        <w:t>y</w:t>
      </w:r>
      <w:r w:rsidRPr="00AC01C1">
        <w:rPr>
          <w:b w:val="0"/>
          <w:bCs w:val="0"/>
          <w:sz w:val="22"/>
          <w:szCs w:val="22"/>
        </w:rPr>
        <w:t xml:space="preserve"> publicznoprawn</w:t>
      </w:r>
      <w:r w:rsidR="006F1EB1" w:rsidRPr="00AC01C1">
        <w:rPr>
          <w:b w:val="0"/>
          <w:bCs w:val="0"/>
          <w:sz w:val="22"/>
          <w:szCs w:val="22"/>
        </w:rPr>
        <w:t>e</w:t>
      </w:r>
      <w:r w:rsidRPr="00AC01C1">
        <w:rPr>
          <w:b w:val="0"/>
          <w:bCs w:val="0"/>
          <w:sz w:val="22"/>
          <w:szCs w:val="22"/>
        </w:rPr>
        <w:t xml:space="preserve"> związan</w:t>
      </w:r>
      <w:r w:rsidR="006F1EB1" w:rsidRPr="00AC01C1">
        <w:rPr>
          <w:b w:val="0"/>
          <w:bCs w:val="0"/>
          <w:sz w:val="22"/>
          <w:szCs w:val="22"/>
        </w:rPr>
        <w:t>e</w:t>
      </w:r>
      <w:r w:rsidRPr="00AC01C1">
        <w:rPr>
          <w:b w:val="0"/>
          <w:bCs w:val="0"/>
          <w:sz w:val="22"/>
          <w:szCs w:val="22"/>
        </w:rPr>
        <w:t xml:space="preserve"> z przygotowaniem i realizacją inwestycji, w szczególności za wydanie decyzji, zgód i zezwoleń;</w:t>
      </w:r>
    </w:p>
    <w:p w14:paraId="2E0B6D18" w14:textId="7AA087C7" w:rsidR="00EC520E" w:rsidRPr="00AC01C1" w:rsidRDefault="00EC520E" w:rsidP="00242ACB">
      <w:pPr>
        <w:pStyle w:val="Nagwek20"/>
        <w:keepNext/>
        <w:keepLines/>
        <w:numPr>
          <w:ilvl w:val="1"/>
          <w:numId w:val="10"/>
        </w:numPr>
        <w:spacing w:after="100" w:line="276" w:lineRule="auto"/>
        <w:ind w:left="426"/>
        <w:jc w:val="both"/>
        <w:rPr>
          <w:b w:val="0"/>
          <w:bCs w:val="0"/>
          <w:sz w:val="22"/>
          <w:szCs w:val="22"/>
        </w:rPr>
      </w:pPr>
      <w:r w:rsidRPr="00AC01C1">
        <w:rPr>
          <w:b w:val="0"/>
          <w:bCs w:val="0"/>
          <w:sz w:val="22"/>
          <w:szCs w:val="22"/>
        </w:rPr>
        <w:lastRenderedPageBreak/>
        <w:t>koszt</w:t>
      </w:r>
      <w:r w:rsidR="006F1EB1" w:rsidRPr="00AC01C1">
        <w:rPr>
          <w:b w:val="0"/>
          <w:bCs w:val="0"/>
          <w:sz w:val="22"/>
          <w:szCs w:val="22"/>
        </w:rPr>
        <w:t>y</w:t>
      </w:r>
      <w:r w:rsidRPr="00AC01C1">
        <w:rPr>
          <w:b w:val="0"/>
          <w:bCs w:val="0"/>
          <w:sz w:val="22"/>
          <w:szCs w:val="22"/>
        </w:rPr>
        <w:t xml:space="preserve"> przygotowania dokumentacji powykonawczej w rozumieniu art. 3 pkt 14 ustawy z dnia 7 lipca 1994 r. - Prawo budowlane (</w:t>
      </w:r>
      <w:r w:rsidR="00E6059A" w:rsidRPr="00E6059A">
        <w:rPr>
          <w:b w:val="0"/>
          <w:bCs w:val="0"/>
          <w:sz w:val="22"/>
          <w:szCs w:val="22"/>
        </w:rPr>
        <w:t>t. jedn. Dz. U. z 2023 r. poz. 682 ze zm.</w:t>
      </w:r>
      <w:r w:rsidRPr="00AC01C1">
        <w:rPr>
          <w:b w:val="0"/>
          <w:bCs w:val="0"/>
          <w:sz w:val="22"/>
          <w:szCs w:val="22"/>
        </w:rPr>
        <w:t>)</w:t>
      </w:r>
      <w:r w:rsidR="00F64558" w:rsidRPr="00AC01C1">
        <w:rPr>
          <w:b w:val="0"/>
          <w:bCs w:val="0"/>
          <w:sz w:val="22"/>
          <w:szCs w:val="22"/>
        </w:rPr>
        <w:t>, w tym koszty nabycia praw autorskich</w:t>
      </w:r>
      <w:r w:rsidR="00FC1042" w:rsidRPr="00AC01C1">
        <w:rPr>
          <w:b w:val="0"/>
          <w:bCs w:val="0"/>
          <w:sz w:val="22"/>
          <w:szCs w:val="22"/>
        </w:rPr>
        <w:t>.</w:t>
      </w:r>
    </w:p>
    <w:p w14:paraId="0765051E" w14:textId="77777777" w:rsidR="00926DA7" w:rsidRPr="00AC01C1" w:rsidRDefault="006F1EB1" w:rsidP="00242ACB">
      <w:pPr>
        <w:pStyle w:val="Akapitzlist"/>
        <w:numPr>
          <w:ilvl w:val="0"/>
          <w:numId w:val="9"/>
        </w:numPr>
        <w:spacing w:after="100" w:line="276" w:lineRule="auto"/>
        <w:ind w:left="426"/>
        <w:contextualSpacing w:val="0"/>
        <w:jc w:val="both"/>
        <w:rPr>
          <w:rFonts w:ascii="Trebuchet MS" w:hAnsi="Trebuchet MS"/>
        </w:rPr>
      </w:pPr>
      <w:r w:rsidRPr="00AC01C1">
        <w:rPr>
          <w:rFonts w:ascii="Trebuchet MS" w:hAnsi="Trebuchet MS"/>
        </w:rPr>
        <w:t xml:space="preserve">Szczegółowe </w:t>
      </w:r>
      <w:r w:rsidR="00A30602" w:rsidRPr="00AC01C1">
        <w:rPr>
          <w:rFonts w:ascii="Trebuchet MS" w:hAnsi="Trebuchet MS"/>
        </w:rPr>
        <w:t>wymagania dotyczące</w:t>
      </w:r>
      <w:r w:rsidRPr="00AC01C1">
        <w:rPr>
          <w:rFonts w:ascii="Trebuchet MS" w:hAnsi="Trebuchet MS"/>
        </w:rPr>
        <w:t xml:space="preserve"> kwalifikowalności kosztów dla poszczególnych kategorii wymienionych w ust. 1</w:t>
      </w:r>
      <w:r w:rsidR="00926DA7" w:rsidRPr="00AC01C1">
        <w:rPr>
          <w:rFonts w:ascii="Trebuchet MS" w:hAnsi="Trebuchet MS"/>
        </w:rPr>
        <w:t xml:space="preserve">: </w:t>
      </w:r>
    </w:p>
    <w:p w14:paraId="498209BE" w14:textId="77777777" w:rsidR="00926DA7" w:rsidRPr="00AC01C1" w:rsidRDefault="00926DA7" w:rsidP="00242ACB">
      <w:pPr>
        <w:pStyle w:val="Akapitzlist"/>
        <w:numPr>
          <w:ilvl w:val="1"/>
          <w:numId w:val="11"/>
        </w:numPr>
        <w:spacing w:after="100" w:line="276" w:lineRule="auto"/>
        <w:ind w:left="426"/>
        <w:contextualSpacing w:val="0"/>
        <w:jc w:val="both"/>
        <w:rPr>
          <w:rFonts w:ascii="Trebuchet MS" w:hAnsi="Trebuchet MS"/>
        </w:rPr>
      </w:pPr>
      <w:bookmarkStart w:id="3" w:name="_Hlk133758571"/>
      <w:bookmarkStart w:id="4" w:name="_Hlk134355031"/>
      <w:r w:rsidRPr="00AC01C1">
        <w:rPr>
          <w:rFonts w:ascii="Trebuchet MS" w:hAnsi="Trebuchet MS"/>
        </w:rPr>
        <w:t xml:space="preserve">W ramach kategorii </w:t>
      </w:r>
      <w:r w:rsidR="006F1EB1" w:rsidRPr="00AC01C1">
        <w:rPr>
          <w:rFonts w:ascii="Trebuchet MS" w:hAnsi="Trebuchet MS"/>
        </w:rPr>
        <w:t>kosztów</w:t>
      </w:r>
      <w:r w:rsidRPr="00AC01C1">
        <w:rPr>
          <w:rFonts w:ascii="Trebuchet MS" w:hAnsi="Trebuchet MS"/>
        </w:rPr>
        <w:t>, o której mowa w ust. 1 pkt 1), za kwalifikowalne uważa się w szczególności</w:t>
      </w:r>
      <w:bookmarkEnd w:id="3"/>
      <w:r w:rsidRPr="00AC01C1">
        <w:rPr>
          <w:rFonts w:ascii="Trebuchet MS" w:hAnsi="Trebuchet MS"/>
        </w:rPr>
        <w:t xml:space="preserve">: </w:t>
      </w:r>
      <w:bookmarkEnd w:id="4"/>
    </w:p>
    <w:p w14:paraId="1CBCA08E" w14:textId="77777777" w:rsidR="00926DA7" w:rsidRPr="00AC01C1" w:rsidRDefault="00926DA7" w:rsidP="00242ACB">
      <w:pPr>
        <w:pStyle w:val="Akapitzlist"/>
        <w:numPr>
          <w:ilvl w:val="2"/>
          <w:numId w:val="12"/>
        </w:numPr>
        <w:spacing w:after="100" w:line="276" w:lineRule="auto"/>
        <w:ind w:left="426"/>
        <w:contextualSpacing w:val="0"/>
        <w:jc w:val="both"/>
        <w:rPr>
          <w:rFonts w:ascii="Trebuchet MS" w:hAnsi="Trebuchet MS"/>
        </w:rPr>
      </w:pPr>
      <w:r w:rsidRPr="00AC01C1">
        <w:rPr>
          <w:rFonts w:ascii="Trebuchet MS" w:hAnsi="Trebuchet MS"/>
        </w:rPr>
        <w:t xml:space="preserve">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 </w:t>
      </w:r>
    </w:p>
    <w:p w14:paraId="0B683BF5" w14:textId="77777777" w:rsidR="00926DA7" w:rsidRPr="00AC01C1" w:rsidRDefault="00926DA7" w:rsidP="00242ACB">
      <w:pPr>
        <w:pStyle w:val="Akapitzlist"/>
        <w:numPr>
          <w:ilvl w:val="2"/>
          <w:numId w:val="12"/>
        </w:numPr>
        <w:spacing w:after="100" w:line="276" w:lineRule="auto"/>
        <w:ind w:left="426"/>
        <w:contextualSpacing w:val="0"/>
        <w:jc w:val="both"/>
        <w:rPr>
          <w:rFonts w:ascii="Trebuchet MS" w:hAnsi="Trebuchet MS"/>
        </w:rPr>
      </w:pPr>
      <w:r w:rsidRPr="00AC01C1">
        <w:rPr>
          <w:rFonts w:ascii="Trebuchet MS" w:hAnsi="Trebuchet MS"/>
        </w:rPr>
        <w:t xml:space="preserve">roboty budowlane – w rozumieniu ustawy Prawo budowlane; </w:t>
      </w:r>
    </w:p>
    <w:p w14:paraId="38D0EDB6" w14:textId="77777777" w:rsidR="00926DA7" w:rsidRPr="00AC01C1" w:rsidRDefault="00926DA7" w:rsidP="00242ACB">
      <w:pPr>
        <w:pStyle w:val="Akapitzlist"/>
        <w:numPr>
          <w:ilvl w:val="2"/>
          <w:numId w:val="12"/>
        </w:numPr>
        <w:spacing w:after="100" w:line="276" w:lineRule="auto"/>
        <w:ind w:left="426"/>
        <w:contextualSpacing w:val="0"/>
        <w:jc w:val="both"/>
        <w:rPr>
          <w:rFonts w:ascii="Trebuchet MS" w:hAnsi="Trebuchet MS"/>
        </w:rPr>
      </w:pPr>
      <w:r w:rsidRPr="00AC01C1">
        <w:rPr>
          <w:rFonts w:ascii="Trebuchet MS" w:hAnsi="Trebuchet MS"/>
        </w:rPr>
        <w:t xml:space="preserve">materiały budowlane; </w:t>
      </w:r>
    </w:p>
    <w:p w14:paraId="423C3270" w14:textId="77777777" w:rsidR="00926DA7" w:rsidRPr="00AC01C1" w:rsidRDefault="00926DA7" w:rsidP="00242ACB">
      <w:pPr>
        <w:pStyle w:val="Akapitzlist"/>
        <w:numPr>
          <w:ilvl w:val="2"/>
          <w:numId w:val="12"/>
        </w:numPr>
        <w:spacing w:after="100" w:line="276" w:lineRule="auto"/>
        <w:ind w:left="426"/>
        <w:contextualSpacing w:val="0"/>
        <w:jc w:val="both"/>
        <w:rPr>
          <w:rFonts w:ascii="Trebuchet MS" w:hAnsi="Trebuchet MS"/>
        </w:rPr>
      </w:pPr>
      <w:r w:rsidRPr="00AC01C1">
        <w:rPr>
          <w:rFonts w:ascii="Trebuchet MS" w:hAnsi="Trebuchet MS"/>
        </w:rPr>
        <w:t xml:space="preserve">dostawa i instalacja niezbędnych do realizacji projektu elementów pasywnej infrastruktury szerokopasmowej, takich jak m.in.: elementy instalacyjne, złącza, elementy kanalizacji kablowej, studnie, rury, </w:t>
      </w:r>
      <w:proofErr w:type="spellStart"/>
      <w:r w:rsidRPr="00AC01C1">
        <w:rPr>
          <w:rFonts w:ascii="Trebuchet MS" w:hAnsi="Trebuchet MS"/>
        </w:rPr>
        <w:t>mikrorury</w:t>
      </w:r>
      <w:proofErr w:type="spellEnd"/>
      <w:r w:rsidRPr="00AC01C1">
        <w:rPr>
          <w:rFonts w:ascii="Trebuchet MS" w:hAnsi="Trebuchet MS"/>
        </w:rPr>
        <w:t xml:space="preserve">, złączki, mufy, kable telekomunikacyjne (wraz z niezbędnymi do pozostawienia w punktach zakończenia sieci zapasami), </w:t>
      </w:r>
      <w:proofErr w:type="spellStart"/>
      <w:r w:rsidRPr="00AC01C1">
        <w:rPr>
          <w:rFonts w:ascii="Trebuchet MS" w:hAnsi="Trebuchet MS"/>
        </w:rPr>
        <w:t>splittery</w:t>
      </w:r>
      <w:proofErr w:type="spellEnd"/>
      <w:r w:rsidRPr="00AC01C1">
        <w:rPr>
          <w:rFonts w:ascii="Trebuchet MS" w:hAnsi="Trebuchet MS"/>
        </w:rPr>
        <w:t xml:space="preserve">, taśmy ostrzegawcze, znaczniki elektromagnetyczne, szafy i kontenery telekomunikacyjne, słupy, maszty i wieże radiowe, a także elementy pasywne niezbędne do ochrony przeciwprzepięciowej i odgromowej; </w:t>
      </w:r>
    </w:p>
    <w:p w14:paraId="1A67CBEE" w14:textId="7B85C66A" w:rsidR="00ED45DB" w:rsidRPr="00AC01C1" w:rsidRDefault="00926DA7" w:rsidP="00242ACB">
      <w:pPr>
        <w:pStyle w:val="Akapitzlist"/>
        <w:numPr>
          <w:ilvl w:val="2"/>
          <w:numId w:val="12"/>
        </w:numPr>
        <w:spacing w:after="100" w:line="276" w:lineRule="auto"/>
        <w:ind w:left="426"/>
        <w:contextualSpacing w:val="0"/>
        <w:jc w:val="both"/>
        <w:rPr>
          <w:rFonts w:ascii="Trebuchet MS" w:hAnsi="Trebuchet MS"/>
        </w:rPr>
      </w:pPr>
      <w:r w:rsidRPr="00AC01C1">
        <w:rPr>
          <w:rFonts w:ascii="Trebuchet MS" w:hAnsi="Trebuchet MS"/>
        </w:rPr>
        <w:t xml:space="preserve">koszty niezbędne do spełnienia wymagań technicznych określonych w ramach dokumentacji konkursowej, w zakresie w jakim dotyczą one specyfikacji technicznej części pasywnej infrastruktury i sieci, w tym minimalnej nadmiarowości, tj. m.in. wydatki na realizację dodatkowych otworów kanalizacji kablowej, włókien lub kabli itp.; </w:t>
      </w:r>
      <w:r w:rsidR="00245954" w:rsidRPr="00AC01C1">
        <w:rPr>
          <w:rFonts w:ascii="Trebuchet MS" w:hAnsi="Trebuchet MS"/>
        </w:rPr>
        <w:t>w</w:t>
      </w:r>
      <w:r w:rsidRPr="00AC01C1">
        <w:rPr>
          <w:rFonts w:ascii="Trebuchet MS" w:hAnsi="Trebuchet MS"/>
        </w:rPr>
        <w:t xml:space="preserve">ydatki poniesione na pokrycie tych kosztów są kwalifikowalne pod warunkiem spełnienia założeń technicznych projektu określonych </w:t>
      </w:r>
      <w:r w:rsidR="00017EE5" w:rsidRPr="00AC01C1">
        <w:rPr>
          <w:rFonts w:ascii="Trebuchet MS" w:hAnsi="Trebuchet MS"/>
        </w:rPr>
        <w:t xml:space="preserve">w załączniku nr 7 do </w:t>
      </w:r>
      <w:r w:rsidR="00E6059A">
        <w:rPr>
          <w:rFonts w:ascii="Trebuchet MS" w:hAnsi="Trebuchet MS"/>
        </w:rPr>
        <w:t xml:space="preserve">regulaminu </w:t>
      </w:r>
      <w:r w:rsidR="00017EE5" w:rsidRPr="00AC01C1">
        <w:rPr>
          <w:rFonts w:ascii="Trebuchet MS" w:hAnsi="Trebuchet MS"/>
        </w:rPr>
        <w:t xml:space="preserve">oraz </w:t>
      </w:r>
      <w:r w:rsidRPr="00AC01C1">
        <w:rPr>
          <w:rFonts w:ascii="Trebuchet MS" w:hAnsi="Trebuchet MS"/>
        </w:rPr>
        <w:t xml:space="preserve">we wniosku o dofinansowanie. </w:t>
      </w:r>
    </w:p>
    <w:p w14:paraId="3EE0309D" w14:textId="77777777" w:rsidR="00926DA7" w:rsidRPr="00AC01C1" w:rsidRDefault="00926DA7" w:rsidP="00D907EB">
      <w:pPr>
        <w:spacing w:after="100" w:line="276" w:lineRule="auto"/>
        <w:jc w:val="both"/>
        <w:rPr>
          <w:rFonts w:ascii="Trebuchet MS" w:hAnsi="Trebuchet MS"/>
        </w:rPr>
      </w:pPr>
      <w:r w:rsidRPr="00AC01C1">
        <w:rPr>
          <w:rFonts w:ascii="Trebuchet MS" w:hAnsi="Trebuchet MS"/>
        </w:rPr>
        <w:t xml:space="preserve">Wydatki poniesione na pokrycie kosztów realizacji pasywnej infrastruktury szerokopasmowej w warstwie sieci dystrybucyjnej i szkieletowej są kwalifikowalne wyłącznie w zakresie w jakim są niezbędne do realizacji szybkiej sieci </w:t>
      </w:r>
      <w:r w:rsidR="00366E23" w:rsidRPr="00AC01C1">
        <w:rPr>
          <w:rFonts w:ascii="Trebuchet MS" w:hAnsi="Trebuchet MS"/>
        </w:rPr>
        <w:t>telekomunikacyjnej</w:t>
      </w:r>
      <w:r w:rsidR="00245954" w:rsidRPr="00AC01C1">
        <w:rPr>
          <w:rFonts w:ascii="Trebuchet MS" w:hAnsi="Trebuchet MS"/>
        </w:rPr>
        <w:t xml:space="preserve"> realizowanej w ramach </w:t>
      </w:r>
      <w:r w:rsidR="00ED45DB" w:rsidRPr="00AC01C1">
        <w:rPr>
          <w:rFonts w:ascii="Trebuchet MS" w:hAnsi="Trebuchet MS"/>
        </w:rPr>
        <w:t>P</w:t>
      </w:r>
      <w:r w:rsidR="00245954" w:rsidRPr="00AC01C1">
        <w:rPr>
          <w:rFonts w:ascii="Trebuchet MS" w:hAnsi="Trebuchet MS"/>
        </w:rPr>
        <w:t>rojektu</w:t>
      </w:r>
      <w:r w:rsidRPr="00AC01C1">
        <w:rPr>
          <w:rFonts w:ascii="Trebuchet MS" w:hAnsi="Trebuchet MS"/>
        </w:rPr>
        <w:t xml:space="preserve">, a także pod warunkiem wykazania, że jest to najbardziej efektywna możliwość realizacji sieci dostępowej i nie jest możliwe lub uzasadnione skorzystanie z istniejącej infrastruktury lub usług hurtowych świadczonych przez innych przedsiębiorców telekomunikacyjnych na danym obszarze. </w:t>
      </w:r>
      <w:bookmarkStart w:id="5" w:name="_Hlk137200128"/>
      <w:r w:rsidR="009673F9" w:rsidRPr="00AC01C1">
        <w:rPr>
          <w:rFonts w:ascii="Trebuchet MS" w:hAnsi="Trebuchet MS"/>
        </w:rPr>
        <w:t xml:space="preserve">Wydatki na telekomunikacyjną instalację wewnątrzbudynkową w rozumieniu przepisów prawa budowlanego </w:t>
      </w:r>
      <w:r w:rsidRPr="00AC01C1">
        <w:rPr>
          <w:rFonts w:ascii="Trebuchet MS" w:hAnsi="Trebuchet MS"/>
        </w:rPr>
        <w:t xml:space="preserve">są niekwalifikowalne zgodnie z katalogiem wydatków niekwalifikowalnych. </w:t>
      </w:r>
      <w:bookmarkEnd w:id="5"/>
    </w:p>
    <w:p w14:paraId="39B5DEF6" w14:textId="77777777" w:rsidR="004C0DE3" w:rsidRPr="00AC01C1" w:rsidRDefault="004C0DE3" w:rsidP="00D907EB">
      <w:pPr>
        <w:spacing w:after="100" w:line="276" w:lineRule="auto"/>
        <w:jc w:val="both"/>
        <w:rPr>
          <w:rFonts w:ascii="Trebuchet MS" w:hAnsi="Trebuchet MS"/>
        </w:rPr>
      </w:pPr>
      <w:r w:rsidRPr="00AC01C1">
        <w:rPr>
          <w:rFonts w:ascii="Trebuchet MS" w:hAnsi="Trebuchet MS"/>
        </w:rPr>
        <w:t xml:space="preserve">W przypadku, gdy z projektu budowlanego wynika konieczność przebudowy urządzeń obcych i jest ona niezbędna dla realizacji projektu, wydatki związane z ww. pracami mogą być uznane za kwalifikowalne. Powyższe ma zastosowanie jedynie w odniesieniu do prac niezbędnych z punktu widzenia prawidłowej realizacji projektu oraz w zakresie, w jakim obowiązek poniesienia ww. wydatków wynika z przepisów prawa, w tym z warunków technicznych usunięcia kolizji, wydanych przez właścicieli urządzeń obcych. W przypadku </w:t>
      </w:r>
      <w:r w:rsidRPr="00AC01C1">
        <w:rPr>
          <w:rFonts w:ascii="Trebuchet MS" w:hAnsi="Trebuchet MS"/>
        </w:rPr>
        <w:lastRenderedPageBreak/>
        <w:t>odsprzedaży gestorowi przebudowanej sieci, należne beneficjentowi wynagrodzenie pomniejsza wartość wydatków możliwych do rozliczenia w projekcie za ten zakres robót.</w:t>
      </w:r>
    </w:p>
    <w:p w14:paraId="11375ABD" w14:textId="77777777" w:rsidR="00926DA7" w:rsidRPr="00AC01C1" w:rsidRDefault="00926DA7" w:rsidP="00242ACB">
      <w:pPr>
        <w:pStyle w:val="Akapitzlist"/>
        <w:numPr>
          <w:ilvl w:val="1"/>
          <w:numId w:val="11"/>
        </w:numPr>
        <w:spacing w:after="100" w:line="276" w:lineRule="auto"/>
        <w:ind w:left="426"/>
        <w:contextualSpacing w:val="0"/>
        <w:jc w:val="both"/>
        <w:rPr>
          <w:rFonts w:ascii="Trebuchet MS" w:hAnsi="Trebuchet MS"/>
        </w:rPr>
      </w:pPr>
      <w:r w:rsidRPr="00AC01C1">
        <w:rPr>
          <w:rFonts w:ascii="Trebuchet MS" w:hAnsi="Trebuchet MS"/>
        </w:rPr>
        <w:t xml:space="preserve">W ramach kategorii </w:t>
      </w:r>
      <w:r w:rsidR="006F1EB1" w:rsidRPr="00AC01C1">
        <w:rPr>
          <w:rFonts w:ascii="Trebuchet MS" w:hAnsi="Trebuchet MS"/>
        </w:rPr>
        <w:t>kosztów</w:t>
      </w:r>
      <w:r w:rsidRPr="00AC01C1">
        <w:rPr>
          <w:rFonts w:ascii="Trebuchet MS" w:hAnsi="Trebuchet MS"/>
        </w:rPr>
        <w:t xml:space="preserve">, o której mowa w ust. 1 pkt 2), za kwalifikowalne uważa się w szczególności wydatki niezbędne do poniesienia na etapie przygotowania do realizacji infrastruktury i sieci w terenie, w szczególności dotyczące takich elementów jak: </w:t>
      </w:r>
    </w:p>
    <w:p w14:paraId="13A0B032" w14:textId="77777777" w:rsidR="00926DA7" w:rsidRPr="00AC01C1" w:rsidRDefault="00926DA7" w:rsidP="00242ACB">
      <w:pPr>
        <w:pStyle w:val="Akapitzlist"/>
        <w:numPr>
          <w:ilvl w:val="2"/>
          <w:numId w:val="13"/>
        </w:numPr>
        <w:spacing w:after="100" w:line="276" w:lineRule="auto"/>
        <w:ind w:left="426"/>
        <w:contextualSpacing w:val="0"/>
        <w:jc w:val="both"/>
        <w:rPr>
          <w:rFonts w:ascii="Trebuchet MS" w:hAnsi="Trebuchet MS"/>
        </w:rPr>
      </w:pPr>
      <w:r w:rsidRPr="00AC01C1">
        <w:rPr>
          <w:rFonts w:ascii="Trebuchet MS" w:hAnsi="Trebuchet MS"/>
        </w:rPr>
        <w:t xml:space="preserve">dokumentacja techniczna projektu, w tym projektowanie infrastruktury i sieci; </w:t>
      </w:r>
    </w:p>
    <w:p w14:paraId="16943619" w14:textId="77777777" w:rsidR="00926DA7" w:rsidRPr="00AC01C1" w:rsidRDefault="00926DA7" w:rsidP="00242ACB">
      <w:pPr>
        <w:pStyle w:val="Akapitzlist"/>
        <w:numPr>
          <w:ilvl w:val="2"/>
          <w:numId w:val="13"/>
        </w:numPr>
        <w:spacing w:after="100" w:line="276" w:lineRule="auto"/>
        <w:ind w:left="426"/>
        <w:contextualSpacing w:val="0"/>
        <w:jc w:val="both"/>
        <w:rPr>
          <w:rFonts w:ascii="Trebuchet MS" w:hAnsi="Trebuchet MS"/>
        </w:rPr>
      </w:pPr>
      <w:r w:rsidRPr="00AC01C1">
        <w:rPr>
          <w:rFonts w:ascii="Trebuchet MS" w:hAnsi="Trebuchet MS"/>
        </w:rPr>
        <w:t xml:space="preserve">pozyskanie i przygotowanie map lub szkiców sytuujących projekt, w tym dotyczące zamówienia usług w zakresie obsługi geodezyjnej; </w:t>
      </w:r>
    </w:p>
    <w:p w14:paraId="4EEC1EF2" w14:textId="77777777" w:rsidR="00926DA7" w:rsidRPr="00AC01C1" w:rsidRDefault="00926DA7" w:rsidP="00242ACB">
      <w:pPr>
        <w:pStyle w:val="Akapitzlist"/>
        <w:numPr>
          <w:ilvl w:val="2"/>
          <w:numId w:val="13"/>
        </w:numPr>
        <w:spacing w:after="100" w:line="276" w:lineRule="auto"/>
        <w:ind w:left="426"/>
        <w:contextualSpacing w:val="0"/>
        <w:jc w:val="both"/>
        <w:rPr>
          <w:rFonts w:ascii="Trebuchet MS" w:hAnsi="Trebuchet MS"/>
        </w:rPr>
      </w:pPr>
      <w:r w:rsidRPr="00AC01C1">
        <w:rPr>
          <w:rFonts w:ascii="Trebuchet MS" w:hAnsi="Trebuchet MS"/>
        </w:rPr>
        <w:t xml:space="preserve">przygotowanie dokumentacji niezbędnej do złożenia wniosków o wydanie wymaganych przepisami prawa decyzji, zgód i zezwoleń administracyjnych albo dokonania zgłoszenia budowy lub robót budowlanych; </w:t>
      </w:r>
    </w:p>
    <w:p w14:paraId="536BF6CA" w14:textId="77777777" w:rsidR="00926DA7" w:rsidRPr="00AC01C1" w:rsidRDefault="00926DA7" w:rsidP="00242ACB">
      <w:pPr>
        <w:pStyle w:val="Akapitzlist"/>
        <w:numPr>
          <w:ilvl w:val="2"/>
          <w:numId w:val="13"/>
        </w:numPr>
        <w:spacing w:after="100" w:line="276" w:lineRule="auto"/>
        <w:ind w:left="426"/>
        <w:contextualSpacing w:val="0"/>
        <w:jc w:val="both"/>
        <w:rPr>
          <w:rFonts w:ascii="Trebuchet MS" w:hAnsi="Trebuchet MS"/>
        </w:rPr>
      </w:pPr>
      <w:r w:rsidRPr="00AC01C1">
        <w:rPr>
          <w:rFonts w:ascii="Trebuchet MS" w:hAnsi="Trebuchet MS"/>
        </w:rPr>
        <w:t xml:space="preserve">dokumentacja budowlana </w:t>
      </w:r>
      <w:r w:rsidR="009673F9" w:rsidRPr="00AC01C1">
        <w:rPr>
          <w:rFonts w:ascii="Trebuchet MS" w:hAnsi="Trebuchet MS"/>
        </w:rPr>
        <w:t>w rozumieniu</w:t>
      </w:r>
      <w:r w:rsidRPr="00AC01C1">
        <w:rPr>
          <w:rFonts w:ascii="Trebuchet MS" w:hAnsi="Trebuchet MS"/>
        </w:rPr>
        <w:t xml:space="preserve"> ustawy </w:t>
      </w:r>
      <w:r w:rsidR="009673F9" w:rsidRPr="00AC01C1">
        <w:rPr>
          <w:rFonts w:ascii="Trebuchet MS" w:hAnsi="Trebuchet MS"/>
        </w:rPr>
        <w:t xml:space="preserve">- </w:t>
      </w:r>
      <w:r w:rsidRPr="00AC01C1">
        <w:rPr>
          <w:rFonts w:ascii="Trebuchet MS" w:hAnsi="Trebuchet MS"/>
        </w:rPr>
        <w:t>Prawo budowlane,</w:t>
      </w:r>
    </w:p>
    <w:p w14:paraId="6FE78B28" w14:textId="77777777" w:rsidR="00926DA7" w:rsidRPr="00AC01C1" w:rsidRDefault="00926DA7" w:rsidP="00242ACB">
      <w:pPr>
        <w:pStyle w:val="Akapitzlist"/>
        <w:numPr>
          <w:ilvl w:val="2"/>
          <w:numId w:val="13"/>
        </w:numPr>
        <w:spacing w:after="100" w:line="276" w:lineRule="auto"/>
        <w:ind w:left="426"/>
        <w:contextualSpacing w:val="0"/>
        <w:jc w:val="both"/>
        <w:rPr>
          <w:rFonts w:ascii="Trebuchet MS" w:hAnsi="Trebuchet MS"/>
        </w:rPr>
      </w:pPr>
      <w:r w:rsidRPr="00AC01C1">
        <w:rPr>
          <w:rFonts w:ascii="Trebuchet MS" w:hAnsi="Trebuchet MS"/>
        </w:rPr>
        <w:t xml:space="preserve">przygotowanie innej dokumentacji w zakresie, w jakim jest to wymagane </w:t>
      </w:r>
      <w:r w:rsidR="00245954" w:rsidRPr="00AC01C1">
        <w:rPr>
          <w:rFonts w:ascii="Trebuchet MS" w:hAnsi="Trebuchet MS"/>
        </w:rPr>
        <w:t xml:space="preserve">do realizacji inwestycji objętej projektem </w:t>
      </w:r>
      <w:r w:rsidRPr="00AC01C1">
        <w:rPr>
          <w:rFonts w:ascii="Trebuchet MS" w:hAnsi="Trebuchet MS"/>
        </w:rPr>
        <w:t>zgodnie z obowiązującymi przepisami prawa</w:t>
      </w:r>
      <w:r w:rsidR="00A30602" w:rsidRPr="00AC01C1">
        <w:rPr>
          <w:rFonts w:ascii="Trebuchet MS" w:hAnsi="Trebuchet MS"/>
        </w:rPr>
        <w:t>;</w:t>
      </w:r>
    </w:p>
    <w:p w14:paraId="20D26D54" w14:textId="77777777" w:rsidR="00926DA7" w:rsidRPr="00AC01C1" w:rsidRDefault="00926DA7" w:rsidP="00242ACB">
      <w:pPr>
        <w:pStyle w:val="Akapitzlist"/>
        <w:numPr>
          <w:ilvl w:val="1"/>
          <w:numId w:val="11"/>
        </w:numPr>
        <w:spacing w:after="100" w:line="276" w:lineRule="auto"/>
        <w:ind w:left="426"/>
        <w:contextualSpacing w:val="0"/>
        <w:jc w:val="both"/>
        <w:rPr>
          <w:rFonts w:ascii="Trebuchet MS" w:hAnsi="Trebuchet MS"/>
        </w:rPr>
      </w:pPr>
      <w:r w:rsidRPr="00AC01C1">
        <w:rPr>
          <w:rFonts w:ascii="Trebuchet MS" w:hAnsi="Trebuchet MS"/>
        </w:rPr>
        <w:t xml:space="preserve">w ramach kategorii </w:t>
      </w:r>
      <w:r w:rsidR="006F1EB1" w:rsidRPr="00AC01C1">
        <w:rPr>
          <w:rFonts w:ascii="Trebuchet MS" w:hAnsi="Trebuchet MS"/>
        </w:rPr>
        <w:t>kosztów</w:t>
      </w:r>
      <w:r w:rsidRPr="00AC01C1">
        <w:rPr>
          <w:rFonts w:ascii="Trebuchet MS" w:hAnsi="Trebuchet MS"/>
        </w:rPr>
        <w:t xml:space="preserve">, o której mowa w ust. 1 pkt </w:t>
      </w:r>
      <w:r w:rsidR="00F64558" w:rsidRPr="00AC01C1">
        <w:rPr>
          <w:rFonts w:ascii="Trebuchet MS" w:hAnsi="Trebuchet MS"/>
        </w:rPr>
        <w:t>3</w:t>
      </w:r>
      <w:r w:rsidRPr="00AC01C1">
        <w:rPr>
          <w:rFonts w:ascii="Trebuchet MS" w:hAnsi="Trebuchet MS"/>
        </w:rPr>
        <w:t xml:space="preserve">), za kwalifikowalne uważa się w szczególności: </w:t>
      </w:r>
    </w:p>
    <w:p w14:paraId="43B8E34B" w14:textId="77777777" w:rsidR="00926DA7" w:rsidRPr="00E6059A" w:rsidRDefault="00926DA7" w:rsidP="00242ACB">
      <w:pPr>
        <w:pStyle w:val="Akapitzlist"/>
        <w:numPr>
          <w:ilvl w:val="2"/>
          <w:numId w:val="14"/>
        </w:numPr>
        <w:spacing w:after="100" w:line="276" w:lineRule="auto"/>
        <w:ind w:left="426"/>
        <w:contextualSpacing w:val="0"/>
        <w:jc w:val="both"/>
        <w:rPr>
          <w:rFonts w:ascii="Trebuchet MS" w:hAnsi="Trebuchet MS"/>
        </w:rPr>
      </w:pPr>
      <w:r w:rsidRPr="00E6059A">
        <w:rPr>
          <w:rFonts w:ascii="Trebuchet MS" w:hAnsi="Trebuchet MS"/>
        </w:rPr>
        <w:t xml:space="preserve">urządzenia telekomunikacyjne stanowiące infrastrukturę aktywną szybkiej sieci </w:t>
      </w:r>
      <w:r w:rsidR="00366E23" w:rsidRPr="00E6059A">
        <w:rPr>
          <w:rFonts w:ascii="Trebuchet MS" w:hAnsi="Trebuchet MS"/>
        </w:rPr>
        <w:t>telekomunikacyjnej</w:t>
      </w:r>
      <w:r w:rsidRPr="00E6059A">
        <w:rPr>
          <w:rFonts w:ascii="Trebuchet MS" w:hAnsi="Trebuchet MS"/>
        </w:rPr>
        <w:t xml:space="preserve">, tj. m.in.: OLT, CMTS, DSLAM, ONU wyłącznie z portami szerokopasmowymi wyposażone w co najmniej dwa takie porty, multipleksery, wzmacniacze, przełącznice, karty liniowe, urządzenia radiowe); </w:t>
      </w:r>
    </w:p>
    <w:p w14:paraId="26F47B6E" w14:textId="77777777" w:rsidR="00926DA7" w:rsidRPr="00E6059A" w:rsidRDefault="00926DA7" w:rsidP="00242ACB">
      <w:pPr>
        <w:pStyle w:val="Akapitzlist"/>
        <w:numPr>
          <w:ilvl w:val="2"/>
          <w:numId w:val="14"/>
        </w:numPr>
        <w:spacing w:after="100" w:line="276" w:lineRule="auto"/>
        <w:ind w:left="426"/>
        <w:contextualSpacing w:val="0"/>
        <w:jc w:val="both"/>
        <w:rPr>
          <w:rFonts w:ascii="Trebuchet MS" w:hAnsi="Trebuchet MS"/>
        </w:rPr>
      </w:pPr>
      <w:r w:rsidRPr="00E6059A">
        <w:rPr>
          <w:rFonts w:ascii="Trebuchet MS" w:hAnsi="Trebuchet MS"/>
        </w:rPr>
        <w:t xml:space="preserve">usługi związane z konfiguracją urządzeń w sieci telekomunikacyjnej oraz nadzorem technicznym; </w:t>
      </w:r>
    </w:p>
    <w:p w14:paraId="0C2FF3DF" w14:textId="77777777" w:rsidR="00926DA7" w:rsidRPr="00E6059A" w:rsidRDefault="00926DA7" w:rsidP="00242ACB">
      <w:pPr>
        <w:pStyle w:val="Akapitzlist"/>
        <w:numPr>
          <w:ilvl w:val="2"/>
          <w:numId w:val="14"/>
        </w:numPr>
        <w:spacing w:after="100" w:line="276" w:lineRule="auto"/>
        <w:ind w:left="426"/>
        <w:contextualSpacing w:val="0"/>
        <w:jc w:val="both"/>
        <w:rPr>
          <w:rFonts w:ascii="Trebuchet MS" w:hAnsi="Trebuchet MS"/>
        </w:rPr>
      </w:pPr>
      <w:r w:rsidRPr="00E6059A">
        <w:rPr>
          <w:rFonts w:ascii="Trebuchet MS" w:hAnsi="Trebuchet MS"/>
        </w:rPr>
        <w:t xml:space="preserve">koszty niezbędne do spełnienia minimalnych warunków określonych w załączniku nr 7 do regulaminu (np. wydatki na porty optyczne dla połączenia z innymi urządzeniami aktywnymi). </w:t>
      </w:r>
    </w:p>
    <w:p w14:paraId="26AB5B60" w14:textId="77777777" w:rsidR="00926DA7" w:rsidRPr="00AC01C1" w:rsidRDefault="00926DA7" w:rsidP="00D907EB">
      <w:pPr>
        <w:spacing w:after="100" w:line="276" w:lineRule="auto"/>
        <w:jc w:val="both"/>
        <w:rPr>
          <w:rFonts w:ascii="Trebuchet MS" w:hAnsi="Trebuchet MS"/>
        </w:rPr>
      </w:pPr>
      <w:r w:rsidRPr="00E6059A">
        <w:rPr>
          <w:rFonts w:ascii="Trebuchet MS" w:hAnsi="Trebuchet MS"/>
        </w:rPr>
        <w:t>Wyłączona jest kwalifikowalność urządzeń abonenckich zgodnie z zasadami opisanymi w katalogu kosztów niekwalifikowalnych</w:t>
      </w:r>
      <w:r w:rsidR="009673F9" w:rsidRPr="00E6059A">
        <w:rPr>
          <w:rFonts w:ascii="Trebuchet MS" w:hAnsi="Trebuchet MS"/>
        </w:rPr>
        <w:t>. Ponadto, aktywne elementy sieci dystrybucyjnej i szkieletowej są niekwalifikowalne zgodnie z katalogiem wydatków niekwalifikowalnych.</w:t>
      </w:r>
    </w:p>
    <w:p w14:paraId="16DD2F8B" w14:textId="77777777" w:rsidR="00926DA7" w:rsidRPr="00AC01C1" w:rsidRDefault="00926DA7" w:rsidP="00242ACB">
      <w:pPr>
        <w:pStyle w:val="Akapitzlist"/>
        <w:numPr>
          <w:ilvl w:val="1"/>
          <w:numId w:val="11"/>
        </w:numPr>
        <w:spacing w:after="100" w:line="276" w:lineRule="auto"/>
        <w:ind w:left="426"/>
        <w:contextualSpacing w:val="0"/>
        <w:jc w:val="both"/>
        <w:rPr>
          <w:rFonts w:ascii="Trebuchet MS" w:hAnsi="Trebuchet MS"/>
        </w:rPr>
      </w:pPr>
      <w:r w:rsidRPr="00AC01C1">
        <w:rPr>
          <w:rFonts w:ascii="Trebuchet MS" w:hAnsi="Trebuchet MS"/>
        </w:rPr>
        <w:t xml:space="preserve">W ramach kategorii </w:t>
      </w:r>
      <w:r w:rsidR="006F1EB1" w:rsidRPr="00AC01C1">
        <w:rPr>
          <w:rFonts w:ascii="Trebuchet MS" w:hAnsi="Trebuchet MS"/>
        </w:rPr>
        <w:t>kosztów</w:t>
      </w:r>
      <w:r w:rsidRPr="00AC01C1">
        <w:rPr>
          <w:rFonts w:ascii="Trebuchet MS" w:hAnsi="Trebuchet MS"/>
        </w:rPr>
        <w:t xml:space="preserve">, o której mowa w ust. 1 pkt </w:t>
      </w:r>
      <w:r w:rsidR="00F64558" w:rsidRPr="00AC01C1">
        <w:rPr>
          <w:rFonts w:ascii="Trebuchet MS" w:hAnsi="Trebuchet MS"/>
        </w:rPr>
        <w:t>4</w:t>
      </w:r>
      <w:r w:rsidRPr="00AC01C1">
        <w:rPr>
          <w:rFonts w:ascii="Trebuchet MS" w:hAnsi="Trebuchet MS"/>
        </w:rPr>
        <w:t xml:space="preserve">), za kwalifikowalne uważa się w szczególności: </w:t>
      </w:r>
    </w:p>
    <w:p w14:paraId="3E75ADC7" w14:textId="77777777" w:rsidR="00926DA7" w:rsidRPr="00AC01C1" w:rsidRDefault="00926DA7" w:rsidP="00242ACB">
      <w:pPr>
        <w:pStyle w:val="Akapitzlist"/>
        <w:numPr>
          <w:ilvl w:val="2"/>
          <w:numId w:val="15"/>
        </w:numPr>
        <w:spacing w:after="100" w:line="276" w:lineRule="auto"/>
        <w:ind w:left="426"/>
        <w:contextualSpacing w:val="0"/>
        <w:jc w:val="both"/>
        <w:rPr>
          <w:rFonts w:ascii="Trebuchet MS" w:hAnsi="Trebuchet MS"/>
        </w:rPr>
      </w:pPr>
      <w:r w:rsidRPr="00AC01C1">
        <w:rPr>
          <w:rFonts w:ascii="Trebuchet MS" w:hAnsi="Trebuchet MS"/>
        </w:rPr>
        <w:t xml:space="preserve">z tytułu współkorzystania lub dostępu do infrastruktury technicznej, o którym mowa w art. 17 Ustawy; </w:t>
      </w:r>
    </w:p>
    <w:p w14:paraId="439893AB" w14:textId="77777777" w:rsidR="00926DA7" w:rsidRPr="00AC01C1" w:rsidRDefault="00926DA7" w:rsidP="00242ACB">
      <w:pPr>
        <w:pStyle w:val="Akapitzlist"/>
        <w:numPr>
          <w:ilvl w:val="2"/>
          <w:numId w:val="15"/>
        </w:numPr>
        <w:spacing w:after="100" w:line="276" w:lineRule="auto"/>
        <w:ind w:left="426"/>
        <w:contextualSpacing w:val="0"/>
        <w:jc w:val="both"/>
        <w:rPr>
          <w:rFonts w:ascii="Trebuchet MS" w:hAnsi="Trebuchet MS"/>
        </w:rPr>
      </w:pPr>
      <w:r w:rsidRPr="00AC01C1">
        <w:rPr>
          <w:rFonts w:ascii="Trebuchet MS" w:hAnsi="Trebuchet MS"/>
        </w:rPr>
        <w:t xml:space="preserve">z tytułu korzystania z urządzeń i obiektów infrastruktury technicznej o którym mowa w art. 35 Ustawy; </w:t>
      </w:r>
    </w:p>
    <w:p w14:paraId="4F65E1EF" w14:textId="77777777" w:rsidR="00926DA7" w:rsidRPr="00AC01C1" w:rsidRDefault="00926DA7" w:rsidP="00242ACB">
      <w:pPr>
        <w:pStyle w:val="Akapitzlist"/>
        <w:numPr>
          <w:ilvl w:val="2"/>
          <w:numId w:val="15"/>
        </w:numPr>
        <w:spacing w:after="100" w:line="276" w:lineRule="auto"/>
        <w:ind w:left="426"/>
        <w:contextualSpacing w:val="0"/>
        <w:jc w:val="both"/>
        <w:rPr>
          <w:rFonts w:ascii="Trebuchet MS" w:hAnsi="Trebuchet MS"/>
        </w:rPr>
      </w:pPr>
      <w:r w:rsidRPr="00AC01C1">
        <w:rPr>
          <w:rFonts w:ascii="Trebuchet MS" w:hAnsi="Trebuchet MS"/>
        </w:rPr>
        <w:t xml:space="preserve">z tytułu udostępnienia kanałów technologicznych, o których mowa w art. 39 ust. 7 ustawy z dnia 21 marca 1985 r. o drogach publicznych (j.t. Dz. U. 2016 r. poz. 1440); </w:t>
      </w:r>
    </w:p>
    <w:p w14:paraId="12996D5C" w14:textId="77777777" w:rsidR="00926DA7" w:rsidRPr="00AC01C1" w:rsidRDefault="00926DA7" w:rsidP="00242ACB">
      <w:pPr>
        <w:pStyle w:val="Akapitzlist"/>
        <w:numPr>
          <w:ilvl w:val="2"/>
          <w:numId w:val="15"/>
        </w:numPr>
        <w:spacing w:after="100" w:line="276" w:lineRule="auto"/>
        <w:ind w:left="426"/>
        <w:contextualSpacing w:val="0"/>
        <w:jc w:val="both"/>
        <w:rPr>
          <w:rFonts w:ascii="Trebuchet MS" w:hAnsi="Trebuchet MS"/>
        </w:rPr>
      </w:pPr>
      <w:r w:rsidRPr="00AC01C1">
        <w:rPr>
          <w:rFonts w:ascii="Trebuchet MS" w:hAnsi="Trebuchet MS"/>
        </w:rPr>
        <w:t>z tytułu uzyskania dostępu o którym mowa w art. 139 ustawy Prawo telekomunikacyjne.</w:t>
      </w:r>
    </w:p>
    <w:p w14:paraId="23052C9A" w14:textId="77777777" w:rsidR="00926DA7" w:rsidRPr="00AC01C1" w:rsidRDefault="00926DA7" w:rsidP="00D907EB">
      <w:pPr>
        <w:spacing w:after="100" w:line="276" w:lineRule="auto"/>
        <w:jc w:val="both"/>
        <w:rPr>
          <w:rFonts w:ascii="Trebuchet MS" w:hAnsi="Trebuchet MS"/>
        </w:rPr>
      </w:pPr>
      <w:r w:rsidRPr="00AC01C1">
        <w:rPr>
          <w:rFonts w:ascii="Trebuchet MS" w:hAnsi="Trebuchet MS"/>
        </w:rPr>
        <w:t xml:space="preserve">W przypadku najmu, dzierżawy, IRU i innych, niż własność i dzierżawa wieczysta, tytułów prawnych do nieruchomości, koszt jest kwalifikowany pod warunkiem, że umowa została zawarta na okres nie krótszy niż minimalny okres świadczenia hurtowego dostępu określony w regulaminie </w:t>
      </w:r>
      <w:r w:rsidR="00994081" w:rsidRPr="00AC01C1">
        <w:rPr>
          <w:rFonts w:ascii="Trebuchet MS" w:hAnsi="Trebuchet MS"/>
        </w:rPr>
        <w:t xml:space="preserve">konkursu </w:t>
      </w:r>
      <w:r w:rsidRPr="00AC01C1">
        <w:rPr>
          <w:rFonts w:ascii="Trebuchet MS" w:hAnsi="Trebuchet MS"/>
        </w:rPr>
        <w:t xml:space="preserve">(tj. </w:t>
      </w:r>
      <w:r w:rsidR="00646546" w:rsidRPr="00AC01C1">
        <w:rPr>
          <w:rFonts w:ascii="Trebuchet MS" w:hAnsi="Trebuchet MS"/>
        </w:rPr>
        <w:t>10</w:t>
      </w:r>
      <w:r w:rsidRPr="00AC01C1">
        <w:rPr>
          <w:rFonts w:ascii="Trebuchet MS" w:hAnsi="Trebuchet MS"/>
        </w:rPr>
        <w:t xml:space="preserve"> lat)</w:t>
      </w:r>
      <w:r w:rsidR="00DB2D02" w:rsidRPr="00AC01C1">
        <w:rPr>
          <w:rFonts w:ascii="Trebuchet MS" w:hAnsi="Trebuchet MS"/>
        </w:rPr>
        <w:t xml:space="preserve">, z tym zastrzeżeniem, że w uzasadnionych przypadkach </w:t>
      </w:r>
      <w:r w:rsidR="00DB2D02" w:rsidRPr="00AC01C1">
        <w:rPr>
          <w:rFonts w:ascii="Trebuchet MS" w:hAnsi="Trebuchet MS"/>
        </w:rPr>
        <w:lastRenderedPageBreak/>
        <w:t>Gmina może wyrazić zgodę na krótszy okres, jednakże nie krótszy niż okres trwałości (tj. 5 lat) w odniesieniu do wydatków dotyczących elementów infrastruktury elektroenergetycznej, sanitarnej, wodociągowej oraz kanałów technologicznych</w:t>
      </w:r>
      <w:r w:rsidRPr="00AC01C1">
        <w:rPr>
          <w:rFonts w:ascii="Trebuchet MS" w:hAnsi="Trebuchet MS"/>
        </w:rPr>
        <w:t xml:space="preserve">. </w:t>
      </w:r>
    </w:p>
    <w:p w14:paraId="188CE30B" w14:textId="77777777" w:rsidR="00646546" w:rsidRPr="00AC01C1" w:rsidRDefault="00926DA7" w:rsidP="00D907EB">
      <w:pPr>
        <w:spacing w:after="100" w:line="276" w:lineRule="auto"/>
        <w:jc w:val="both"/>
        <w:rPr>
          <w:rFonts w:ascii="Trebuchet MS" w:hAnsi="Trebuchet MS"/>
        </w:rPr>
      </w:pPr>
      <w:bookmarkStart w:id="6" w:name="_Hlk134358139"/>
      <w:r w:rsidRPr="00AC01C1">
        <w:rPr>
          <w:rFonts w:ascii="Trebuchet MS" w:hAnsi="Trebuchet MS"/>
        </w:rPr>
        <w:t>Wydatki wynikające z umów lub decyzji w ramach niniejszej kategorii, są kwalifikowalne proporcjonalnie do okresu realizacji projektu, tj. nie są kwalifikowalne wydatki odnoszące się do okresu trwałości i późniejszych.</w:t>
      </w:r>
    </w:p>
    <w:bookmarkEnd w:id="6"/>
    <w:p w14:paraId="6FEEE154" w14:textId="77777777" w:rsidR="00646546" w:rsidRPr="00AC01C1" w:rsidRDefault="00646546" w:rsidP="00D907EB">
      <w:pPr>
        <w:spacing w:after="100" w:line="276" w:lineRule="auto"/>
        <w:jc w:val="both"/>
        <w:rPr>
          <w:rFonts w:ascii="Trebuchet MS" w:hAnsi="Trebuchet MS"/>
        </w:rPr>
      </w:pPr>
      <w:r w:rsidRPr="00AC01C1">
        <w:rPr>
          <w:rFonts w:ascii="Trebuchet MS" w:hAnsi="Trebuchet MS"/>
        </w:rPr>
        <w:t>Ograniczenie z poprzedniego akapitu</w:t>
      </w:r>
      <w:r w:rsidR="00926DA7" w:rsidRPr="00AC01C1">
        <w:rPr>
          <w:rFonts w:ascii="Trebuchet MS" w:hAnsi="Trebuchet MS"/>
        </w:rPr>
        <w:t xml:space="preserve"> nie dotyczy wydatków poniesionych w ramach IRU</w:t>
      </w:r>
      <w:r w:rsidRPr="00AC01C1">
        <w:rPr>
          <w:rFonts w:ascii="Trebuchet MS" w:hAnsi="Trebuchet MS"/>
        </w:rPr>
        <w:t xml:space="preserve"> – w przypadku umowy IRU wydatek kwalifikowalny stanowi wyłącznie płatność zasadnicza (jednorazowa) poniesiona w okresie kwalifikowalności wydatków w projekcie (koszt utrzymania infrastruktury użytkowanej w drodze IRU w trakcie oraz po zakończeniu projektu ponoszony jest przez beneficjenta)</w:t>
      </w:r>
      <w:r w:rsidR="00F73726" w:rsidRPr="00AC01C1">
        <w:rPr>
          <w:rFonts w:ascii="Trebuchet MS" w:hAnsi="Trebuchet MS"/>
        </w:rPr>
        <w:t>.</w:t>
      </w:r>
    </w:p>
    <w:p w14:paraId="3A474688" w14:textId="77777777" w:rsidR="00926DA7" w:rsidRPr="00AC01C1" w:rsidRDefault="00926DA7" w:rsidP="00D907EB">
      <w:pPr>
        <w:spacing w:after="100" w:line="276" w:lineRule="auto"/>
        <w:jc w:val="both"/>
        <w:rPr>
          <w:rFonts w:ascii="Trebuchet MS" w:hAnsi="Trebuchet MS"/>
        </w:rPr>
      </w:pPr>
      <w:r w:rsidRPr="00AC01C1">
        <w:rPr>
          <w:rFonts w:ascii="Trebuchet MS" w:hAnsi="Trebuchet MS"/>
        </w:rPr>
        <w:t xml:space="preserve">IRU (ang. </w:t>
      </w:r>
      <w:proofErr w:type="spellStart"/>
      <w:r w:rsidRPr="00AC01C1">
        <w:rPr>
          <w:rFonts w:ascii="Trebuchet MS" w:hAnsi="Trebuchet MS"/>
        </w:rPr>
        <w:t>Indefeasible</w:t>
      </w:r>
      <w:proofErr w:type="spellEnd"/>
      <w:r w:rsidRPr="00AC01C1">
        <w:rPr>
          <w:rFonts w:ascii="Trebuchet MS" w:hAnsi="Trebuchet MS"/>
        </w:rPr>
        <w:t xml:space="preserve"> Right of </w:t>
      </w:r>
      <w:proofErr w:type="spellStart"/>
      <w:r w:rsidRPr="00AC01C1">
        <w:rPr>
          <w:rFonts w:ascii="Trebuchet MS" w:hAnsi="Trebuchet MS"/>
        </w:rPr>
        <w:t>Use</w:t>
      </w:r>
      <w:proofErr w:type="spellEnd"/>
      <w:r w:rsidRPr="00AC01C1">
        <w:rPr>
          <w:rFonts w:ascii="Trebuchet MS" w:hAnsi="Trebuchet MS"/>
        </w:rPr>
        <w:t>) oznacza rzeczywiste, długookresowe (najczęściej na około 20 lat, aczkolwiek w praktyce stosowane są również umowy na krótszy okres) nabycie uprawnień do wyłącznego używania infrastruktury telekomunikacyjnej (najczęściej kanalizacji kablowej, kabla lub włókna światłowodowego), pozwalające na działanie przez nabywającego w sferze finansowo-księgowej, jak gdyby był właścicielem infrastruktury.</w:t>
      </w:r>
    </w:p>
    <w:p w14:paraId="5B69A25A" w14:textId="5619CAB7" w:rsidR="00926DA7" w:rsidRPr="00A915B5" w:rsidRDefault="00926DA7" w:rsidP="00D907EB">
      <w:pPr>
        <w:spacing w:after="100" w:line="276" w:lineRule="auto"/>
        <w:jc w:val="both"/>
        <w:rPr>
          <w:rFonts w:ascii="Trebuchet MS" w:hAnsi="Trebuchet MS"/>
          <w:color w:val="000000"/>
        </w:rPr>
      </w:pPr>
      <w:r w:rsidRPr="00A915B5">
        <w:rPr>
          <w:rFonts w:ascii="Trebuchet MS" w:hAnsi="Trebuchet MS"/>
          <w:color w:val="000000"/>
        </w:rPr>
        <w:t xml:space="preserve">Całkowite </w:t>
      </w:r>
      <w:r w:rsidR="00646546" w:rsidRPr="00A915B5">
        <w:rPr>
          <w:rFonts w:ascii="Trebuchet MS" w:hAnsi="Trebuchet MS"/>
          <w:color w:val="000000"/>
        </w:rPr>
        <w:t>wydatki</w:t>
      </w:r>
      <w:r w:rsidRPr="00A915B5">
        <w:rPr>
          <w:rFonts w:ascii="Trebuchet MS" w:hAnsi="Trebuchet MS"/>
          <w:color w:val="000000"/>
        </w:rPr>
        <w:t xml:space="preserve"> kwalifikowalne w ramach tej kategorii </w:t>
      </w:r>
      <w:r w:rsidR="00646546" w:rsidRPr="00A915B5">
        <w:rPr>
          <w:rFonts w:ascii="Trebuchet MS" w:hAnsi="Trebuchet MS"/>
          <w:color w:val="000000"/>
        </w:rPr>
        <w:t>kosztów</w:t>
      </w:r>
      <w:r w:rsidRPr="00A915B5">
        <w:rPr>
          <w:rFonts w:ascii="Trebuchet MS" w:hAnsi="Trebuchet MS"/>
          <w:color w:val="000000"/>
        </w:rPr>
        <w:t xml:space="preserve"> nie mogą przekroczyć </w:t>
      </w:r>
      <w:r w:rsidR="00B528DB">
        <w:rPr>
          <w:rFonts w:ascii="Trebuchet MS" w:hAnsi="Trebuchet MS"/>
          <w:color w:val="000000"/>
        </w:rPr>
        <w:t>1</w:t>
      </w:r>
      <w:r w:rsidR="00064A1E" w:rsidRPr="00A915B5">
        <w:rPr>
          <w:rFonts w:ascii="Trebuchet MS" w:hAnsi="Trebuchet MS"/>
          <w:color w:val="000000"/>
        </w:rPr>
        <w:t>0</w:t>
      </w:r>
      <w:r w:rsidRPr="00A915B5">
        <w:rPr>
          <w:rFonts w:ascii="Trebuchet MS" w:hAnsi="Trebuchet MS"/>
          <w:color w:val="000000"/>
        </w:rPr>
        <w:t>% wydatków kwalifikowalnych projektu.</w:t>
      </w:r>
      <w:r w:rsidR="00A65FD1" w:rsidRPr="00A915B5">
        <w:rPr>
          <w:rFonts w:ascii="Trebuchet MS" w:hAnsi="Trebuchet MS"/>
          <w:color w:val="000000"/>
        </w:rPr>
        <w:t xml:space="preserve"> </w:t>
      </w:r>
    </w:p>
    <w:p w14:paraId="7E863374" w14:textId="77777777" w:rsidR="00926DA7" w:rsidRPr="00AC01C1" w:rsidRDefault="00926DA7" w:rsidP="00242ACB">
      <w:pPr>
        <w:pStyle w:val="Akapitzlist"/>
        <w:numPr>
          <w:ilvl w:val="1"/>
          <w:numId w:val="11"/>
        </w:numPr>
        <w:spacing w:after="100" w:line="276" w:lineRule="auto"/>
        <w:ind w:left="426"/>
        <w:contextualSpacing w:val="0"/>
        <w:jc w:val="both"/>
        <w:rPr>
          <w:rFonts w:ascii="Trebuchet MS" w:hAnsi="Trebuchet MS"/>
        </w:rPr>
      </w:pPr>
      <w:r w:rsidRPr="00AC01C1">
        <w:rPr>
          <w:rFonts w:ascii="Trebuchet MS" w:hAnsi="Trebuchet MS"/>
        </w:rPr>
        <w:t xml:space="preserve">W ramach kategorii </w:t>
      </w:r>
      <w:r w:rsidR="006F1EB1" w:rsidRPr="00AC01C1">
        <w:rPr>
          <w:rFonts w:ascii="Trebuchet MS" w:hAnsi="Trebuchet MS"/>
        </w:rPr>
        <w:t>kosztów</w:t>
      </w:r>
      <w:r w:rsidRPr="00AC01C1">
        <w:rPr>
          <w:rFonts w:ascii="Trebuchet MS" w:hAnsi="Trebuchet MS"/>
        </w:rPr>
        <w:t xml:space="preserve">, o której mowa w ust. 1 pkt </w:t>
      </w:r>
      <w:r w:rsidR="00F64558" w:rsidRPr="00AC01C1">
        <w:rPr>
          <w:rFonts w:ascii="Trebuchet MS" w:hAnsi="Trebuchet MS"/>
        </w:rPr>
        <w:t>5</w:t>
      </w:r>
      <w:r w:rsidRPr="00AC01C1">
        <w:rPr>
          <w:rFonts w:ascii="Trebuchet MS" w:hAnsi="Trebuchet MS"/>
        </w:rPr>
        <w:t xml:space="preserve">), za kwalifikowalne uważa się w szczególności: </w:t>
      </w:r>
    </w:p>
    <w:p w14:paraId="7D70E465" w14:textId="77777777" w:rsidR="00926DA7" w:rsidRPr="00AC01C1" w:rsidRDefault="00926DA7" w:rsidP="00242ACB">
      <w:pPr>
        <w:pStyle w:val="Akapitzlist"/>
        <w:numPr>
          <w:ilvl w:val="2"/>
          <w:numId w:val="16"/>
        </w:numPr>
        <w:spacing w:after="100" w:line="276" w:lineRule="auto"/>
        <w:ind w:left="426"/>
        <w:contextualSpacing w:val="0"/>
        <w:jc w:val="both"/>
        <w:rPr>
          <w:rFonts w:ascii="Trebuchet MS" w:hAnsi="Trebuchet MS"/>
        </w:rPr>
      </w:pPr>
      <w:r w:rsidRPr="00AC01C1">
        <w:rPr>
          <w:rFonts w:ascii="Trebuchet MS" w:hAnsi="Trebuchet MS"/>
        </w:rPr>
        <w:t xml:space="preserve">urządzenia niezbędne dla funkcjonowania sieci telekomunikacyjnej, tj. urządzenia służące do zasilania, wentylacji, klimatyzacji, urządzenia alarmowe służące zabezpieczeniu przed kradzieżą, wandalizmem i włamaniami, urządzenia niezbędne do zapewnienia ochrony przeciwprzepięciowej i odgromowej; </w:t>
      </w:r>
    </w:p>
    <w:p w14:paraId="6EF6EF40" w14:textId="77777777" w:rsidR="00926DA7" w:rsidRPr="00AC01C1" w:rsidRDefault="00926DA7" w:rsidP="00242ACB">
      <w:pPr>
        <w:pStyle w:val="Akapitzlist"/>
        <w:numPr>
          <w:ilvl w:val="2"/>
          <w:numId w:val="16"/>
        </w:numPr>
        <w:spacing w:after="100" w:line="276" w:lineRule="auto"/>
        <w:ind w:left="426"/>
        <w:contextualSpacing w:val="0"/>
        <w:jc w:val="both"/>
        <w:rPr>
          <w:rFonts w:ascii="Trebuchet MS" w:hAnsi="Trebuchet MS"/>
        </w:rPr>
      </w:pPr>
      <w:r w:rsidRPr="00AC01C1">
        <w:rPr>
          <w:rFonts w:ascii="Trebuchet MS" w:hAnsi="Trebuchet MS"/>
        </w:rPr>
        <w:t xml:space="preserve">koszty przyłączenia do sieci elektroenergetycznej lub innej formy zapewnienia zasilania w energię elektryczną. </w:t>
      </w:r>
    </w:p>
    <w:p w14:paraId="12454E22" w14:textId="77777777" w:rsidR="00926DA7" w:rsidRPr="00AC01C1" w:rsidRDefault="00DB2D02" w:rsidP="00D907EB">
      <w:pPr>
        <w:spacing w:after="100" w:line="276" w:lineRule="auto"/>
        <w:jc w:val="both"/>
        <w:rPr>
          <w:rFonts w:ascii="Trebuchet MS" w:hAnsi="Trebuchet MS"/>
        </w:rPr>
      </w:pPr>
      <w:r w:rsidRPr="00AC01C1">
        <w:rPr>
          <w:rFonts w:ascii="Trebuchet MS" w:hAnsi="Trebuchet MS"/>
        </w:rPr>
        <w:t>Do niniejszej kategorii należą koszty</w:t>
      </w:r>
      <w:r w:rsidR="00921013" w:rsidRPr="00AC01C1">
        <w:rPr>
          <w:rFonts w:ascii="Trebuchet MS" w:hAnsi="Trebuchet MS"/>
        </w:rPr>
        <w:t xml:space="preserve"> inwestycyjne budowy szybkiej sieci telekomunikacyjnej w ramach projektu</w:t>
      </w:r>
      <w:r w:rsidRPr="00AC01C1">
        <w:rPr>
          <w:rFonts w:ascii="Trebuchet MS" w:hAnsi="Trebuchet MS"/>
        </w:rPr>
        <w:t xml:space="preserve">, które nie kwalifikują się do innej kategorii kosztów, a jednocześnie nie są wyłączone z dofinansowania jako koszty niekwalifikowalne. </w:t>
      </w:r>
      <w:r w:rsidR="00926DA7" w:rsidRPr="00AC01C1">
        <w:rPr>
          <w:rFonts w:ascii="Trebuchet MS" w:hAnsi="Trebuchet MS"/>
        </w:rPr>
        <w:t xml:space="preserve">Wyłączona jest </w:t>
      </w:r>
      <w:r w:rsidRPr="00AC01C1">
        <w:rPr>
          <w:rFonts w:ascii="Trebuchet MS" w:hAnsi="Trebuchet MS"/>
        </w:rPr>
        <w:t xml:space="preserve">w szczególności </w:t>
      </w:r>
      <w:r w:rsidR="00926DA7" w:rsidRPr="00AC01C1">
        <w:rPr>
          <w:rFonts w:ascii="Trebuchet MS" w:hAnsi="Trebuchet MS"/>
        </w:rPr>
        <w:t xml:space="preserve">kwalifikowalność urządzeń abonenckich zgodnie z zasadami opisanymi w katalogu kosztów niekwalifikowalnych. </w:t>
      </w:r>
    </w:p>
    <w:p w14:paraId="07D326C7" w14:textId="77777777" w:rsidR="00926DA7" w:rsidRPr="00AC01C1" w:rsidRDefault="00926DA7" w:rsidP="00242ACB">
      <w:pPr>
        <w:pStyle w:val="Akapitzlist"/>
        <w:numPr>
          <w:ilvl w:val="1"/>
          <w:numId w:val="11"/>
        </w:numPr>
        <w:spacing w:after="100" w:line="276" w:lineRule="auto"/>
        <w:ind w:left="426"/>
        <w:contextualSpacing w:val="0"/>
        <w:jc w:val="both"/>
        <w:rPr>
          <w:rFonts w:ascii="Trebuchet MS" w:hAnsi="Trebuchet MS"/>
        </w:rPr>
      </w:pPr>
      <w:r w:rsidRPr="00AC01C1">
        <w:rPr>
          <w:rFonts w:ascii="Trebuchet MS" w:hAnsi="Trebuchet MS"/>
        </w:rPr>
        <w:t xml:space="preserve">W ramach kategorii </w:t>
      </w:r>
      <w:r w:rsidR="006F1EB1" w:rsidRPr="00AC01C1">
        <w:rPr>
          <w:rFonts w:ascii="Trebuchet MS" w:hAnsi="Trebuchet MS"/>
        </w:rPr>
        <w:t>kosztów</w:t>
      </w:r>
      <w:r w:rsidRPr="00AC01C1">
        <w:rPr>
          <w:rFonts w:ascii="Trebuchet MS" w:hAnsi="Trebuchet MS"/>
        </w:rPr>
        <w:t xml:space="preserve">, o której mowa w ust. 1 pkt </w:t>
      </w:r>
      <w:r w:rsidR="00F64558" w:rsidRPr="00AC01C1">
        <w:rPr>
          <w:rFonts w:ascii="Trebuchet MS" w:hAnsi="Trebuchet MS"/>
        </w:rPr>
        <w:t>6</w:t>
      </w:r>
      <w:r w:rsidRPr="00AC01C1">
        <w:rPr>
          <w:rFonts w:ascii="Trebuchet MS" w:hAnsi="Trebuchet MS"/>
        </w:rPr>
        <w:t>), za kwalifikowalne uważa się w szczególności:</w:t>
      </w:r>
    </w:p>
    <w:p w14:paraId="4A834B27" w14:textId="77777777" w:rsidR="00245954" w:rsidRPr="00AC01C1" w:rsidRDefault="00926DA7" w:rsidP="00242ACB">
      <w:pPr>
        <w:pStyle w:val="Akapitzlist"/>
        <w:numPr>
          <w:ilvl w:val="2"/>
          <w:numId w:val="17"/>
        </w:numPr>
        <w:spacing w:after="100" w:line="276" w:lineRule="auto"/>
        <w:ind w:left="426"/>
        <w:contextualSpacing w:val="0"/>
        <w:jc w:val="both"/>
        <w:rPr>
          <w:rFonts w:ascii="Trebuchet MS" w:hAnsi="Trebuchet MS"/>
        </w:rPr>
      </w:pPr>
      <w:r w:rsidRPr="00AC01C1">
        <w:rPr>
          <w:rFonts w:ascii="Trebuchet MS" w:hAnsi="Trebuchet MS"/>
        </w:rPr>
        <w:t xml:space="preserve">opłaty związane z zajęciem pasa drogowego w celu prowadzenia robót w pasie drogowym, </w:t>
      </w:r>
    </w:p>
    <w:p w14:paraId="29E6ED1D" w14:textId="77777777" w:rsidR="00926DA7" w:rsidRPr="00AC01C1" w:rsidRDefault="00926DA7" w:rsidP="00242ACB">
      <w:pPr>
        <w:pStyle w:val="Akapitzlist"/>
        <w:numPr>
          <w:ilvl w:val="2"/>
          <w:numId w:val="17"/>
        </w:numPr>
        <w:spacing w:after="100" w:line="276" w:lineRule="auto"/>
        <w:ind w:left="426"/>
        <w:contextualSpacing w:val="0"/>
        <w:jc w:val="both"/>
        <w:rPr>
          <w:rFonts w:ascii="Trebuchet MS" w:hAnsi="Trebuchet MS"/>
        </w:rPr>
      </w:pPr>
      <w:r w:rsidRPr="00AC01C1">
        <w:rPr>
          <w:rFonts w:ascii="Trebuchet MS" w:hAnsi="Trebuchet MS"/>
        </w:rPr>
        <w:t xml:space="preserve">opłaty związane z uzyskaniem pozwolenia na budowę - wydatki te są niekwalifikowalne, jeśli stanowią karę za naruszenie obowiązujących przepisów prawa; </w:t>
      </w:r>
    </w:p>
    <w:p w14:paraId="1B233220" w14:textId="77777777" w:rsidR="00926DA7" w:rsidRPr="00AC01C1" w:rsidRDefault="00926DA7" w:rsidP="00242ACB">
      <w:pPr>
        <w:pStyle w:val="Akapitzlist"/>
        <w:numPr>
          <w:ilvl w:val="1"/>
          <w:numId w:val="11"/>
        </w:numPr>
        <w:spacing w:after="100" w:line="276" w:lineRule="auto"/>
        <w:ind w:left="426"/>
        <w:contextualSpacing w:val="0"/>
        <w:jc w:val="both"/>
        <w:rPr>
          <w:rFonts w:ascii="Trebuchet MS" w:hAnsi="Trebuchet MS"/>
        </w:rPr>
      </w:pPr>
      <w:r w:rsidRPr="00AC01C1">
        <w:rPr>
          <w:rFonts w:ascii="Trebuchet MS" w:hAnsi="Trebuchet MS"/>
        </w:rPr>
        <w:t xml:space="preserve">W ramach kategorii </w:t>
      </w:r>
      <w:r w:rsidR="006F1EB1" w:rsidRPr="00AC01C1">
        <w:rPr>
          <w:rFonts w:ascii="Trebuchet MS" w:hAnsi="Trebuchet MS"/>
        </w:rPr>
        <w:t>kosztów</w:t>
      </w:r>
      <w:r w:rsidRPr="00AC01C1">
        <w:rPr>
          <w:rFonts w:ascii="Trebuchet MS" w:hAnsi="Trebuchet MS"/>
        </w:rPr>
        <w:t xml:space="preserve">, o której mowa w ust. 1 pkt </w:t>
      </w:r>
      <w:r w:rsidR="00F64558" w:rsidRPr="00AC01C1">
        <w:rPr>
          <w:rFonts w:ascii="Trebuchet MS" w:hAnsi="Trebuchet MS"/>
        </w:rPr>
        <w:t>7</w:t>
      </w:r>
      <w:r w:rsidRPr="00AC01C1">
        <w:rPr>
          <w:rFonts w:ascii="Trebuchet MS" w:hAnsi="Trebuchet MS"/>
        </w:rPr>
        <w:t>), za kwalifikowalne uważa się dokumentację powykonawczą w rozumieniu - Prawa budowlanego.</w:t>
      </w:r>
    </w:p>
    <w:p w14:paraId="3046BF22" w14:textId="77777777" w:rsidR="00EC520E" w:rsidRPr="00AC01C1" w:rsidRDefault="009246AD" w:rsidP="00D907EB">
      <w:pPr>
        <w:pStyle w:val="Nagwek20"/>
        <w:keepNext/>
        <w:keepLines/>
        <w:spacing w:after="100" w:line="276" w:lineRule="auto"/>
        <w:rPr>
          <w:rStyle w:val="Nagwek2"/>
          <w:b/>
          <w:bCs/>
          <w:sz w:val="22"/>
          <w:szCs w:val="22"/>
        </w:rPr>
      </w:pPr>
      <w:bookmarkStart w:id="7" w:name="_Hlk133755260"/>
      <w:r w:rsidRPr="00AC01C1">
        <w:rPr>
          <w:rStyle w:val="Nagwek2"/>
          <w:b/>
          <w:bCs/>
          <w:sz w:val="22"/>
          <w:szCs w:val="22"/>
        </w:rPr>
        <w:lastRenderedPageBreak/>
        <w:t>§ 2</w:t>
      </w:r>
    </w:p>
    <w:bookmarkEnd w:id="7"/>
    <w:p w14:paraId="251F3619" w14:textId="77777777" w:rsidR="00A65FD1" w:rsidRPr="00AC01C1" w:rsidRDefault="00A65FD1" w:rsidP="00242ACB">
      <w:pPr>
        <w:pStyle w:val="Nagwek20"/>
        <w:keepNext/>
        <w:keepLines/>
        <w:numPr>
          <w:ilvl w:val="0"/>
          <w:numId w:val="19"/>
        </w:numPr>
        <w:spacing w:after="100" w:line="276" w:lineRule="auto"/>
        <w:ind w:left="426"/>
        <w:jc w:val="both"/>
        <w:rPr>
          <w:b w:val="0"/>
          <w:bCs w:val="0"/>
          <w:sz w:val="22"/>
          <w:szCs w:val="22"/>
        </w:rPr>
      </w:pPr>
      <w:r w:rsidRPr="00AC01C1">
        <w:rPr>
          <w:b w:val="0"/>
          <w:bCs w:val="0"/>
          <w:sz w:val="22"/>
          <w:szCs w:val="22"/>
        </w:rPr>
        <w:t>Wydatkami kwalifikującymi się do objęcia wsparciem są wydatki faktycznie poniesione i udokumentowane przez beneficjenta, bezpośrednio i wyłącznie związane z działaniem, na które udzielono wsparcia, niezbędne do jego realizacji, ponoszone w sposób efektywny, skuteczny i zgodny z zasadami gospodarności, które są możliwe do zidentyfikowania, w szczególności przez wprowadzenie do ewidencji księgowej</w:t>
      </w:r>
      <w:r w:rsidR="00017EE5" w:rsidRPr="00AC01C1">
        <w:rPr>
          <w:b w:val="0"/>
          <w:bCs w:val="0"/>
          <w:sz w:val="22"/>
          <w:szCs w:val="22"/>
        </w:rPr>
        <w:t>.</w:t>
      </w:r>
    </w:p>
    <w:p w14:paraId="396B2025" w14:textId="77777777" w:rsidR="00116291" w:rsidRPr="00AC01C1" w:rsidRDefault="00A65FD1" w:rsidP="00242ACB">
      <w:pPr>
        <w:pStyle w:val="Nagwek20"/>
        <w:keepNext/>
        <w:keepLines/>
        <w:numPr>
          <w:ilvl w:val="0"/>
          <w:numId w:val="19"/>
        </w:numPr>
        <w:spacing w:after="100" w:line="276" w:lineRule="auto"/>
        <w:ind w:left="426"/>
        <w:jc w:val="both"/>
        <w:rPr>
          <w:b w:val="0"/>
          <w:bCs w:val="0"/>
          <w:sz w:val="22"/>
          <w:szCs w:val="22"/>
        </w:rPr>
      </w:pPr>
      <w:r w:rsidRPr="00AC01C1">
        <w:rPr>
          <w:b w:val="0"/>
          <w:bCs w:val="0"/>
          <w:sz w:val="22"/>
          <w:szCs w:val="22"/>
        </w:rPr>
        <w:t>Ponadto, dla</w:t>
      </w:r>
      <w:r w:rsidR="00116291" w:rsidRPr="00AC01C1">
        <w:rPr>
          <w:b w:val="0"/>
          <w:bCs w:val="0"/>
          <w:sz w:val="22"/>
          <w:szCs w:val="22"/>
        </w:rPr>
        <w:t xml:space="preserve"> </w:t>
      </w:r>
      <w:r w:rsidRPr="00AC01C1">
        <w:rPr>
          <w:b w:val="0"/>
          <w:bCs w:val="0"/>
          <w:sz w:val="22"/>
          <w:szCs w:val="22"/>
        </w:rPr>
        <w:t>wszystkich</w:t>
      </w:r>
      <w:r w:rsidR="00116291" w:rsidRPr="00AC01C1">
        <w:rPr>
          <w:b w:val="0"/>
          <w:bCs w:val="0"/>
          <w:sz w:val="22"/>
          <w:szCs w:val="22"/>
        </w:rPr>
        <w:t xml:space="preserve"> kategorii </w:t>
      </w:r>
      <w:r w:rsidRPr="00AC01C1">
        <w:rPr>
          <w:b w:val="0"/>
          <w:bCs w:val="0"/>
          <w:sz w:val="22"/>
          <w:szCs w:val="22"/>
        </w:rPr>
        <w:t>kosztów kwalifikowalnych</w:t>
      </w:r>
      <w:r w:rsidR="00116291" w:rsidRPr="00AC01C1">
        <w:rPr>
          <w:b w:val="0"/>
          <w:bCs w:val="0"/>
          <w:sz w:val="22"/>
          <w:szCs w:val="22"/>
        </w:rPr>
        <w:t xml:space="preserve"> </w:t>
      </w:r>
      <w:r w:rsidR="00926DA7" w:rsidRPr="00AC01C1">
        <w:rPr>
          <w:b w:val="0"/>
          <w:bCs w:val="0"/>
          <w:sz w:val="22"/>
          <w:szCs w:val="22"/>
        </w:rPr>
        <w:t>określonych w § 1</w:t>
      </w:r>
      <w:r w:rsidRPr="00AC01C1">
        <w:rPr>
          <w:b w:val="0"/>
          <w:bCs w:val="0"/>
          <w:sz w:val="22"/>
          <w:szCs w:val="22"/>
        </w:rPr>
        <w:t>,</w:t>
      </w:r>
      <w:r w:rsidR="00926DA7" w:rsidRPr="00AC01C1">
        <w:rPr>
          <w:b w:val="0"/>
          <w:bCs w:val="0"/>
          <w:sz w:val="22"/>
          <w:szCs w:val="22"/>
        </w:rPr>
        <w:t xml:space="preserve"> </w:t>
      </w:r>
      <w:r w:rsidR="00116291" w:rsidRPr="00AC01C1">
        <w:rPr>
          <w:b w:val="0"/>
          <w:bCs w:val="0"/>
          <w:sz w:val="22"/>
          <w:szCs w:val="22"/>
        </w:rPr>
        <w:t xml:space="preserve">stosuje się </w:t>
      </w:r>
      <w:r w:rsidRPr="00AC01C1">
        <w:rPr>
          <w:b w:val="0"/>
          <w:bCs w:val="0"/>
          <w:sz w:val="22"/>
          <w:szCs w:val="22"/>
        </w:rPr>
        <w:t>poniższe</w:t>
      </w:r>
      <w:r w:rsidR="004803BA" w:rsidRPr="00AC01C1">
        <w:rPr>
          <w:b w:val="0"/>
          <w:bCs w:val="0"/>
          <w:sz w:val="22"/>
          <w:szCs w:val="22"/>
        </w:rPr>
        <w:t xml:space="preserve"> </w:t>
      </w:r>
      <w:r w:rsidR="00116291" w:rsidRPr="00AC01C1">
        <w:rPr>
          <w:b w:val="0"/>
          <w:bCs w:val="0"/>
          <w:sz w:val="22"/>
          <w:szCs w:val="22"/>
        </w:rPr>
        <w:t xml:space="preserve">zasady: </w:t>
      </w:r>
    </w:p>
    <w:p w14:paraId="5DBCF4B8" w14:textId="77777777" w:rsidR="00116291" w:rsidRPr="00AC01C1" w:rsidRDefault="00116291" w:rsidP="00242ACB">
      <w:pPr>
        <w:pStyle w:val="Nagwek20"/>
        <w:keepNext/>
        <w:keepLines/>
        <w:numPr>
          <w:ilvl w:val="1"/>
          <w:numId w:val="18"/>
        </w:numPr>
        <w:spacing w:after="100" w:line="276" w:lineRule="auto"/>
        <w:ind w:left="426"/>
        <w:jc w:val="both"/>
        <w:rPr>
          <w:b w:val="0"/>
          <w:bCs w:val="0"/>
          <w:sz w:val="22"/>
          <w:szCs w:val="22"/>
        </w:rPr>
      </w:pPr>
      <w:r w:rsidRPr="00AC01C1">
        <w:rPr>
          <w:b w:val="0"/>
          <w:bCs w:val="0"/>
          <w:sz w:val="22"/>
          <w:szCs w:val="22"/>
        </w:rPr>
        <w:t xml:space="preserve">wszystkie wydatki muszą być ponoszone zgodnie z wymaganiami określonymi w regulaminie </w:t>
      </w:r>
      <w:r w:rsidR="00994081" w:rsidRPr="00AC01C1">
        <w:rPr>
          <w:b w:val="0"/>
          <w:bCs w:val="0"/>
          <w:sz w:val="22"/>
          <w:szCs w:val="22"/>
        </w:rPr>
        <w:t xml:space="preserve">konkursu </w:t>
      </w:r>
      <w:r w:rsidRPr="00AC01C1">
        <w:rPr>
          <w:b w:val="0"/>
          <w:bCs w:val="0"/>
          <w:sz w:val="22"/>
          <w:szCs w:val="22"/>
        </w:rPr>
        <w:t xml:space="preserve">i jego załącznikach oraz zgodnie </w:t>
      </w:r>
      <w:r w:rsidR="00921013" w:rsidRPr="00AC01C1">
        <w:rPr>
          <w:b w:val="0"/>
          <w:bCs w:val="0"/>
          <w:sz w:val="22"/>
          <w:szCs w:val="22"/>
        </w:rPr>
        <w:t xml:space="preserve">z </w:t>
      </w:r>
      <w:r w:rsidRPr="00AC01C1">
        <w:rPr>
          <w:b w:val="0"/>
          <w:bCs w:val="0"/>
          <w:sz w:val="22"/>
          <w:szCs w:val="22"/>
        </w:rPr>
        <w:t xml:space="preserve">umową o dofinansowanie pod rygorem uznania ich za niekwalifikowane. Wydatki te muszą być bezpośrednio związane z realizacja projektu; </w:t>
      </w:r>
    </w:p>
    <w:p w14:paraId="35052969" w14:textId="77777777" w:rsidR="00116291" w:rsidRPr="00AC01C1" w:rsidRDefault="00116291" w:rsidP="00242ACB">
      <w:pPr>
        <w:pStyle w:val="Nagwek20"/>
        <w:keepNext/>
        <w:keepLines/>
        <w:numPr>
          <w:ilvl w:val="1"/>
          <w:numId w:val="18"/>
        </w:numPr>
        <w:spacing w:after="100" w:line="276" w:lineRule="auto"/>
        <w:ind w:left="426"/>
        <w:jc w:val="both"/>
        <w:rPr>
          <w:b w:val="0"/>
          <w:bCs w:val="0"/>
          <w:sz w:val="22"/>
          <w:szCs w:val="22"/>
        </w:rPr>
      </w:pPr>
      <w:r w:rsidRPr="00AC01C1">
        <w:rPr>
          <w:b w:val="0"/>
          <w:bCs w:val="0"/>
          <w:sz w:val="22"/>
          <w:szCs w:val="22"/>
        </w:rPr>
        <w:t xml:space="preserve">wydatkami kwalifikującymi się do objęcia wsparciem są wydatki poniesione w okresie </w:t>
      </w:r>
      <w:r w:rsidR="00FD5BB2" w:rsidRPr="00AC01C1">
        <w:rPr>
          <w:b w:val="0"/>
          <w:bCs w:val="0"/>
          <w:sz w:val="22"/>
          <w:szCs w:val="22"/>
        </w:rPr>
        <w:t xml:space="preserve">od dnia podpisania umowy o </w:t>
      </w:r>
      <w:r w:rsidR="00FD5BB2" w:rsidRPr="00A915B5">
        <w:rPr>
          <w:b w:val="0"/>
          <w:bCs w:val="0"/>
          <w:color w:val="000000"/>
          <w:sz w:val="22"/>
          <w:szCs w:val="22"/>
        </w:rPr>
        <w:t>dofinansowanie (wydatki poniesione wcześniej nie stanowią wydatku kwalifikowalnego)</w:t>
      </w:r>
      <w:r w:rsidR="00FD5BB2" w:rsidRPr="00A915B5">
        <w:rPr>
          <w:color w:val="000000"/>
          <w:sz w:val="22"/>
          <w:szCs w:val="22"/>
        </w:rPr>
        <w:t xml:space="preserve"> </w:t>
      </w:r>
      <w:r w:rsidRPr="00A915B5">
        <w:rPr>
          <w:b w:val="0"/>
          <w:bCs w:val="0"/>
          <w:color w:val="000000"/>
          <w:sz w:val="22"/>
          <w:szCs w:val="22"/>
        </w:rPr>
        <w:t>do dnia 3</w:t>
      </w:r>
      <w:r w:rsidR="00921013" w:rsidRPr="00A915B5">
        <w:rPr>
          <w:b w:val="0"/>
          <w:bCs w:val="0"/>
          <w:color w:val="000000"/>
          <w:sz w:val="22"/>
          <w:szCs w:val="22"/>
        </w:rPr>
        <w:t>o listopada</w:t>
      </w:r>
      <w:r w:rsidRPr="00A915B5">
        <w:rPr>
          <w:b w:val="0"/>
          <w:bCs w:val="0"/>
          <w:sz w:val="22"/>
          <w:szCs w:val="22"/>
        </w:rPr>
        <w:t xml:space="preserve"> 2024 rok</w:t>
      </w:r>
      <w:r w:rsidR="00FD5BB2" w:rsidRPr="00A915B5">
        <w:rPr>
          <w:b w:val="0"/>
          <w:bCs w:val="0"/>
          <w:sz w:val="22"/>
          <w:szCs w:val="22"/>
        </w:rPr>
        <w:t>u</w:t>
      </w:r>
      <w:r w:rsidR="00FD5BB2" w:rsidRPr="00AC01C1">
        <w:rPr>
          <w:b w:val="0"/>
          <w:bCs w:val="0"/>
          <w:sz w:val="22"/>
          <w:szCs w:val="22"/>
        </w:rPr>
        <w:t xml:space="preserve"> (zwrot kwoty zatrzymanej wykonawcy przez beneficjenta (np. tytułem zabezpieczenia) po upływie okresu kwalifikowalności wydatków w projekcie nie stanowi wydatku kwalifikowalnego);</w:t>
      </w:r>
    </w:p>
    <w:p w14:paraId="22127092" w14:textId="77777777" w:rsidR="00116291" w:rsidRPr="00AC01C1" w:rsidRDefault="00116291" w:rsidP="00242ACB">
      <w:pPr>
        <w:pStyle w:val="Nagwek20"/>
        <w:keepNext/>
        <w:keepLines/>
        <w:numPr>
          <w:ilvl w:val="1"/>
          <w:numId w:val="18"/>
        </w:numPr>
        <w:spacing w:after="100" w:line="276" w:lineRule="auto"/>
        <w:ind w:left="426"/>
        <w:jc w:val="both"/>
        <w:rPr>
          <w:b w:val="0"/>
          <w:bCs w:val="0"/>
          <w:sz w:val="22"/>
          <w:szCs w:val="22"/>
        </w:rPr>
      </w:pPr>
      <w:r w:rsidRPr="00AC01C1">
        <w:rPr>
          <w:b w:val="0"/>
          <w:bCs w:val="0"/>
          <w:sz w:val="22"/>
          <w:szCs w:val="22"/>
        </w:rPr>
        <w:t xml:space="preserve">wszystkie wydatki powinny być przypisane do odpowiednich kategorii określonych </w:t>
      </w:r>
      <w:bookmarkStart w:id="8" w:name="_Hlk133785977"/>
      <w:r w:rsidRPr="00AC01C1">
        <w:rPr>
          <w:b w:val="0"/>
          <w:bCs w:val="0"/>
          <w:sz w:val="22"/>
          <w:szCs w:val="22"/>
        </w:rPr>
        <w:t>w § 1</w:t>
      </w:r>
      <w:bookmarkEnd w:id="8"/>
      <w:r w:rsidR="00017EE5" w:rsidRPr="00AC01C1">
        <w:rPr>
          <w:b w:val="0"/>
          <w:bCs w:val="0"/>
          <w:sz w:val="22"/>
          <w:szCs w:val="22"/>
        </w:rPr>
        <w:t xml:space="preserve"> ust. 1</w:t>
      </w:r>
      <w:r w:rsidRPr="00AC01C1">
        <w:rPr>
          <w:b w:val="0"/>
          <w:bCs w:val="0"/>
          <w:sz w:val="22"/>
          <w:szCs w:val="22"/>
        </w:rPr>
        <w:t xml:space="preserve">; </w:t>
      </w:r>
    </w:p>
    <w:p w14:paraId="38755932" w14:textId="77777777" w:rsidR="00116291" w:rsidRPr="00AC01C1" w:rsidRDefault="00116291" w:rsidP="00242ACB">
      <w:pPr>
        <w:pStyle w:val="Nagwek20"/>
        <w:keepNext/>
        <w:keepLines/>
        <w:numPr>
          <w:ilvl w:val="1"/>
          <w:numId w:val="18"/>
        </w:numPr>
        <w:spacing w:after="100" w:line="276" w:lineRule="auto"/>
        <w:ind w:left="426"/>
        <w:jc w:val="both"/>
        <w:rPr>
          <w:b w:val="0"/>
          <w:bCs w:val="0"/>
          <w:sz w:val="22"/>
          <w:szCs w:val="22"/>
        </w:rPr>
      </w:pPr>
      <w:r w:rsidRPr="00AC01C1">
        <w:rPr>
          <w:b w:val="0"/>
          <w:bCs w:val="0"/>
          <w:sz w:val="22"/>
          <w:szCs w:val="22"/>
        </w:rPr>
        <w:t xml:space="preserve">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 </w:t>
      </w:r>
    </w:p>
    <w:p w14:paraId="08EBA9EF" w14:textId="77777777" w:rsidR="00017EE5" w:rsidRPr="00AC01C1" w:rsidRDefault="00116291" w:rsidP="00242ACB">
      <w:pPr>
        <w:pStyle w:val="Nagwek20"/>
        <w:keepNext/>
        <w:keepLines/>
        <w:numPr>
          <w:ilvl w:val="1"/>
          <w:numId w:val="18"/>
        </w:numPr>
        <w:spacing w:after="100" w:line="276" w:lineRule="auto"/>
        <w:ind w:left="426"/>
        <w:jc w:val="both"/>
        <w:rPr>
          <w:b w:val="0"/>
          <w:bCs w:val="0"/>
          <w:sz w:val="22"/>
          <w:szCs w:val="22"/>
        </w:rPr>
      </w:pPr>
      <w:r w:rsidRPr="00AC01C1">
        <w:rPr>
          <w:b w:val="0"/>
          <w:bCs w:val="0"/>
          <w:sz w:val="22"/>
          <w:szCs w:val="22"/>
        </w:rPr>
        <w:t xml:space="preserve">dopuszcza się zakup używanych środków trwałych, </w:t>
      </w:r>
      <w:r w:rsidR="00017EE5" w:rsidRPr="00AC01C1">
        <w:rPr>
          <w:b w:val="0"/>
          <w:bCs w:val="0"/>
          <w:sz w:val="22"/>
          <w:szCs w:val="22"/>
        </w:rPr>
        <w:t xml:space="preserve">o ile spełnione są wymagania z § 5 ust. </w:t>
      </w:r>
      <w:r w:rsidR="00AD467F" w:rsidRPr="00AC01C1">
        <w:rPr>
          <w:b w:val="0"/>
          <w:bCs w:val="0"/>
          <w:sz w:val="22"/>
          <w:szCs w:val="22"/>
        </w:rPr>
        <w:t>6</w:t>
      </w:r>
      <w:r w:rsidR="00017EE5" w:rsidRPr="00AC01C1">
        <w:rPr>
          <w:b w:val="0"/>
          <w:bCs w:val="0"/>
          <w:sz w:val="22"/>
          <w:szCs w:val="22"/>
        </w:rPr>
        <w:t xml:space="preserve"> </w:t>
      </w:r>
      <w:r w:rsidRPr="00AC01C1">
        <w:rPr>
          <w:b w:val="0"/>
          <w:bCs w:val="0"/>
          <w:sz w:val="22"/>
          <w:szCs w:val="22"/>
        </w:rPr>
        <w:t>lit. e</w:t>
      </w:r>
      <w:r w:rsidR="00017EE5" w:rsidRPr="00AC01C1">
        <w:rPr>
          <w:b w:val="0"/>
          <w:bCs w:val="0"/>
          <w:sz w:val="22"/>
          <w:szCs w:val="22"/>
        </w:rPr>
        <w:t xml:space="preserve"> </w:t>
      </w:r>
      <w:proofErr w:type="spellStart"/>
      <w:r w:rsidR="00017EE5" w:rsidRPr="00AC01C1">
        <w:rPr>
          <w:b w:val="0"/>
          <w:bCs w:val="0"/>
          <w:sz w:val="22"/>
          <w:szCs w:val="22"/>
        </w:rPr>
        <w:t>ppkt</w:t>
      </w:r>
      <w:proofErr w:type="spellEnd"/>
      <w:r w:rsidR="00017EE5" w:rsidRPr="00AC01C1">
        <w:rPr>
          <w:b w:val="0"/>
          <w:bCs w:val="0"/>
          <w:sz w:val="22"/>
          <w:szCs w:val="22"/>
        </w:rPr>
        <w:t xml:space="preserve"> iii)</w:t>
      </w:r>
      <w:r w:rsidRPr="00AC01C1">
        <w:rPr>
          <w:b w:val="0"/>
          <w:bCs w:val="0"/>
          <w:sz w:val="22"/>
          <w:szCs w:val="22"/>
        </w:rPr>
        <w:t>;</w:t>
      </w:r>
    </w:p>
    <w:p w14:paraId="53E2F656" w14:textId="77777777" w:rsidR="00116291" w:rsidRPr="00AC01C1" w:rsidRDefault="00116291" w:rsidP="00242ACB">
      <w:pPr>
        <w:pStyle w:val="Nagwek20"/>
        <w:keepNext/>
        <w:keepLines/>
        <w:numPr>
          <w:ilvl w:val="1"/>
          <w:numId w:val="18"/>
        </w:numPr>
        <w:spacing w:after="100" w:line="276" w:lineRule="auto"/>
        <w:ind w:left="426"/>
        <w:jc w:val="both"/>
        <w:rPr>
          <w:b w:val="0"/>
          <w:bCs w:val="0"/>
          <w:sz w:val="22"/>
          <w:szCs w:val="22"/>
        </w:rPr>
      </w:pPr>
      <w:r w:rsidRPr="00AC01C1">
        <w:rPr>
          <w:b w:val="0"/>
          <w:bCs w:val="0"/>
          <w:sz w:val="22"/>
          <w:szCs w:val="22"/>
        </w:rPr>
        <w:t xml:space="preserve">kwalifikowalne są wydatki w związku z zastosowaniem leasingu i innych technik finansowania nie powodujących natychmiastowego przeniesienia prawa własności; </w:t>
      </w:r>
    </w:p>
    <w:p w14:paraId="45112A24" w14:textId="77777777" w:rsidR="00116291" w:rsidRPr="00AC01C1" w:rsidRDefault="00116291" w:rsidP="00242ACB">
      <w:pPr>
        <w:pStyle w:val="Nagwek20"/>
        <w:keepNext/>
        <w:keepLines/>
        <w:numPr>
          <w:ilvl w:val="1"/>
          <w:numId w:val="18"/>
        </w:numPr>
        <w:spacing w:after="100" w:line="276" w:lineRule="auto"/>
        <w:ind w:left="426"/>
        <w:jc w:val="both"/>
        <w:rPr>
          <w:b w:val="0"/>
          <w:bCs w:val="0"/>
          <w:sz w:val="22"/>
          <w:szCs w:val="22"/>
        </w:rPr>
      </w:pPr>
      <w:r w:rsidRPr="00AC01C1">
        <w:rPr>
          <w:b w:val="0"/>
          <w:bCs w:val="0"/>
          <w:sz w:val="22"/>
          <w:szCs w:val="22"/>
        </w:rPr>
        <w:t>wydatki poniesione na pokrycie kosztów są kwalifikowalne pod warunkiem spełnienia założeń technicznych projektu określonych w</w:t>
      </w:r>
      <w:r w:rsidR="00017EE5" w:rsidRPr="00AC01C1">
        <w:rPr>
          <w:b w:val="0"/>
          <w:bCs w:val="0"/>
          <w:sz w:val="22"/>
          <w:szCs w:val="22"/>
        </w:rPr>
        <w:t xml:space="preserve"> </w:t>
      </w:r>
      <w:r w:rsidRPr="00AC01C1">
        <w:rPr>
          <w:b w:val="0"/>
          <w:bCs w:val="0"/>
          <w:sz w:val="22"/>
          <w:szCs w:val="22"/>
        </w:rPr>
        <w:t>załączniku nr 7 do regulaminu</w:t>
      </w:r>
      <w:r w:rsidR="00017EE5" w:rsidRPr="00AC01C1">
        <w:rPr>
          <w:b w:val="0"/>
          <w:bCs w:val="0"/>
          <w:sz w:val="22"/>
          <w:szCs w:val="22"/>
        </w:rPr>
        <w:t xml:space="preserve"> oraz we wniosku o dofinansowanie.</w:t>
      </w:r>
    </w:p>
    <w:p w14:paraId="3E8A8C4F" w14:textId="77777777" w:rsidR="00F67A3A" w:rsidRPr="00AC01C1" w:rsidRDefault="00F67A3A" w:rsidP="00242ACB">
      <w:pPr>
        <w:pStyle w:val="Nagwek20"/>
        <w:keepNext/>
        <w:keepLines/>
        <w:numPr>
          <w:ilvl w:val="0"/>
          <w:numId w:val="19"/>
        </w:numPr>
        <w:spacing w:after="100" w:line="276" w:lineRule="auto"/>
        <w:ind w:left="426"/>
        <w:jc w:val="both"/>
        <w:rPr>
          <w:b w:val="0"/>
          <w:bCs w:val="0"/>
          <w:sz w:val="22"/>
          <w:szCs w:val="22"/>
        </w:rPr>
      </w:pPr>
      <w:r w:rsidRPr="00AC01C1">
        <w:rPr>
          <w:b w:val="0"/>
          <w:bCs w:val="0"/>
          <w:sz w:val="22"/>
          <w:szCs w:val="22"/>
        </w:rPr>
        <w:t>Zakazuje się udzielania lub dalszego wykonywania wszelkich zamówień na rzecz lub z udziałem:</w:t>
      </w:r>
    </w:p>
    <w:p w14:paraId="64357562" w14:textId="77777777" w:rsidR="00F67A3A" w:rsidRPr="00AC01C1" w:rsidRDefault="00F67A3A" w:rsidP="00242ACB">
      <w:pPr>
        <w:pStyle w:val="Nagwek20"/>
        <w:keepNext/>
        <w:keepLines/>
        <w:numPr>
          <w:ilvl w:val="2"/>
          <w:numId w:val="26"/>
        </w:numPr>
        <w:spacing w:after="100" w:line="276" w:lineRule="auto"/>
        <w:ind w:left="426"/>
        <w:jc w:val="both"/>
        <w:rPr>
          <w:b w:val="0"/>
          <w:bCs w:val="0"/>
          <w:sz w:val="22"/>
          <w:szCs w:val="22"/>
        </w:rPr>
      </w:pPr>
      <w:r w:rsidRPr="00AC01C1">
        <w:rPr>
          <w:b w:val="0"/>
          <w:bCs w:val="0"/>
          <w:sz w:val="22"/>
          <w:szCs w:val="22"/>
        </w:rPr>
        <w:t>obywateli rosyjskich lub osób fizycznych lub prawnych, podmiotów lub organów z siedzibą w Rosji;</w:t>
      </w:r>
    </w:p>
    <w:p w14:paraId="71E523C3" w14:textId="77777777" w:rsidR="00F67A3A" w:rsidRPr="00AC01C1" w:rsidRDefault="00F67A3A" w:rsidP="00242ACB">
      <w:pPr>
        <w:pStyle w:val="Nagwek20"/>
        <w:keepNext/>
        <w:keepLines/>
        <w:numPr>
          <w:ilvl w:val="2"/>
          <w:numId w:val="26"/>
        </w:numPr>
        <w:spacing w:after="100" w:line="276" w:lineRule="auto"/>
        <w:ind w:left="426"/>
        <w:jc w:val="both"/>
        <w:rPr>
          <w:b w:val="0"/>
          <w:bCs w:val="0"/>
          <w:sz w:val="22"/>
          <w:szCs w:val="22"/>
        </w:rPr>
      </w:pPr>
      <w:r w:rsidRPr="00AC01C1">
        <w:rPr>
          <w:b w:val="0"/>
          <w:bCs w:val="0"/>
          <w:sz w:val="22"/>
          <w:szCs w:val="22"/>
        </w:rPr>
        <w:t>osób prawnych, podmiotów lub organów, do których prawa własności bezpośrednio lub pośrednio w ponad 50 % należą do podmiotu, o którym mowa w lit. a) niniejszego ustępu; lub</w:t>
      </w:r>
    </w:p>
    <w:p w14:paraId="7E99F702" w14:textId="77777777" w:rsidR="00F67A3A" w:rsidRPr="00AC01C1" w:rsidRDefault="00F67A3A" w:rsidP="00242ACB">
      <w:pPr>
        <w:pStyle w:val="Nagwek20"/>
        <w:keepNext/>
        <w:keepLines/>
        <w:numPr>
          <w:ilvl w:val="2"/>
          <w:numId w:val="26"/>
        </w:numPr>
        <w:spacing w:after="100" w:line="276" w:lineRule="auto"/>
        <w:ind w:left="426"/>
        <w:jc w:val="both"/>
        <w:rPr>
          <w:b w:val="0"/>
          <w:bCs w:val="0"/>
          <w:sz w:val="22"/>
          <w:szCs w:val="22"/>
        </w:rPr>
      </w:pPr>
      <w:r w:rsidRPr="00AC01C1">
        <w:rPr>
          <w:b w:val="0"/>
          <w:bCs w:val="0"/>
          <w:sz w:val="22"/>
          <w:szCs w:val="22"/>
        </w:rPr>
        <w:t>osób fizycznych lub prawnych, podmiotów lub organów działających w imieniu lub pod kierunkiem podmiotu, o którym mowa w lit. a) lub b) niniejszego ustępu,</w:t>
      </w:r>
    </w:p>
    <w:p w14:paraId="73A5FBA3" w14:textId="77777777" w:rsidR="00F67A3A" w:rsidRPr="00AC01C1" w:rsidRDefault="00F67A3A" w:rsidP="00F67A3A">
      <w:pPr>
        <w:pStyle w:val="Nagwek20"/>
        <w:keepNext/>
        <w:keepLines/>
        <w:spacing w:after="100" w:line="276" w:lineRule="auto"/>
        <w:ind w:left="66"/>
        <w:jc w:val="both"/>
        <w:rPr>
          <w:b w:val="0"/>
          <w:bCs w:val="0"/>
          <w:sz w:val="22"/>
          <w:szCs w:val="22"/>
        </w:rPr>
      </w:pPr>
      <w:r w:rsidRPr="00AC01C1">
        <w:rPr>
          <w:b w:val="0"/>
          <w:bCs w:val="0"/>
          <w:sz w:val="22"/>
          <w:szCs w:val="22"/>
        </w:rPr>
        <w:t>w tym podwykonawców, dostawców lub podmiotów, na których zdolności polega się w rozumieniu dyrektyw w sprawie zamówień publicznych, w przypadku gdy przypada na nich ponad 10 % wartości zamówienia.</w:t>
      </w:r>
    </w:p>
    <w:p w14:paraId="41B39C6B" w14:textId="77777777" w:rsidR="000F17A1" w:rsidRPr="00AC01C1" w:rsidRDefault="000F17A1" w:rsidP="00D907EB">
      <w:pPr>
        <w:spacing w:after="100" w:line="276" w:lineRule="auto"/>
        <w:jc w:val="center"/>
        <w:rPr>
          <w:rFonts w:ascii="Trebuchet MS" w:hAnsi="Trebuchet MS"/>
          <w:b/>
          <w:bCs/>
        </w:rPr>
      </w:pPr>
      <w:bookmarkStart w:id="9" w:name="_Hlk133784927"/>
      <w:r w:rsidRPr="00AC01C1">
        <w:rPr>
          <w:rFonts w:ascii="Trebuchet MS" w:hAnsi="Trebuchet MS"/>
          <w:b/>
          <w:bCs/>
        </w:rPr>
        <w:lastRenderedPageBreak/>
        <w:t xml:space="preserve">§ </w:t>
      </w:r>
      <w:r w:rsidR="00926DA7" w:rsidRPr="00AC01C1">
        <w:rPr>
          <w:rFonts w:ascii="Trebuchet MS" w:hAnsi="Trebuchet MS"/>
          <w:b/>
          <w:bCs/>
        </w:rPr>
        <w:t>3</w:t>
      </w:r>
    </w:p>
    <w:bookmarkEnd w:id="9"/>
    <w:p w14:paraId="2284869F" w14:textId="77777777" w:rsidR="000F17A1" w:rsidRPr="00AC01C1" w:rsidRDefault="000F17A1" w:rsidP="00242ACB">
      <w:pPr>
        <w:pStyle w:val="Akapitzlist"/>
        <w:numPr>
          <w:ilvl w:val="0"/>
          <w:numId w:val="7"/>
        </w:numPr>
        <w:spacing w:after="100" w:line="276" w:lineRule="auto"/>
        <w:ind w:left="426"/>
        <w:contextualSpacing w:val="0"/>
        <w:jc w:val="both"/>
        <w:rPr>
          <w:rFonts w:ascii="Trebuchet MS" w:hAnsi="Trebuchet MS"/>
        </w:rPr>
      </w:pPr>
      <w:r w:rsidRPr="00AC01C1">
        <w:rPr>
          <w:rFonts w:ascii="Trebuchet MS" w:hAnsi="Trebuchet MS"/>
        </w:rPr>
        <w:t xml:space="preserve">Za </w:t>
      </w:r>
      <w:r w:rsidRPr="00AC01C1">
        <w:rPr>
          <w:rFonts w:ascii="Trebuchet MS" w:hAnsi="Trebuchet MS"/>
          <w:b/>
          <w:bCs/>
          <w:u w:val="single"/>
        </w:rPr>
        <w:t>niekwalifikowalne</w:t>
      </w:r>
      <w:r w:rsidRPr="00AC01C1">
        <w:rPr>
          <w:rFonts w:ascii="Trebuchet MS" w:hAnsi="Trebuchet MS"/>
        </w:rPr>
        <w:t xml:space="preserve"> uznaje się </w:t>
      </w:r>
      <w:r w:rsidR="00AC01C1" w:rsidRPr="00AC01C1">
        <w:rPr>
          <w:rFonts w:ascii="Trebuchet MS" w:hAnsi="Trebuchet MS"/>
        </w:rPr>
        <w:t xml:space="preserve">w szczególności </w:t>
      </w:r>
      <w:r w:rsidRPr="00AC01C1">
        <w:rPr>
          <w:rFonts w:ascii="Trebuchet MS" w:hAnsi="Trebuchet MS"/>
        </w:rPr>
        <w:t>wydatki określone w ramach poniższych kategorii:</w:t>
      </w:r>
    </w:p>
    <w:p w14:paraId="512D3BC1" w14:textId="77777777" w:rsidR="000F17A1" w:rsidRPr="00AC01C1" w:rsidRDefault="00017EE5" w:rsidP="00D907EB">
      <w:pPr>
        <w:pStyle w:val="Akapitzlist"/>
        <w:numPr>
          <w:ilvl w:val="0"/>
          <w:numId w:val="1"/>
        </w:numPr>
        <w:spacing w:after="100" w:line="276" w:lineRule="auto"/>
        <w:ind w:left="426" w:hanging="349"/>
        <w:contextualSpacing w:val="0"/>
        <w:jc w:val="both"/>
        <w:rPr>
          <w:rFonts w:ascii="Trebuchet MS" w:hAnsi="Trebuchet MS"/>
        </w:rPr>
      </w:pPr>
      <w:r w:rsidRPr="00E6059A">
        <w:rPr>
          <w:rFonts w:ascii="Trebuchet MS" w:hAnsi="Trebuchet MS"/>
        </w:rPr>
        <w:t>w</w:t>
      </w:r>
      <w:r w:rsidR="000F17A1" w:rsidRPr="00E6059A">
        <w:rPr>
          <w:rFonts w:ascii="Trebuchet MS" w:hAnsi="Trebuchet MS"/>
        </w:rPr>
        <w:t>szelkie wydatki dotyczące aktywnych elementów sieci umieszczanych lub instalowanych w budynkach, z wyjątkiem wydatków na urządzenia aktywne umieszczonych w punkcie styku w pomieszczeniu budynku wielorodzinnego</w:t>
      </w:r>
      <w:r w:rsidR="000F17A1" w:rsidRPr="00AC01C1">
        <w:rPr>
          <w:rFonts w:ascii="Trebuchet MS" w:hAnsi="Trebuchet MS"/>
        </w:rPr>
        <w:t xml:space="preserve">, o którym mowa § 192f ust. 1 pkt 1 rozporządzenia Ministra Infrastruktury z dnia 12 kwietnia 2002 r. w sprawie warunków technicznych jakim powinny odpowiadać budynki i ich usytuowanie. 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w:t>
      </w:r>
      <w:proofErr w:type="spellStart"/>
      <w:r w:rsidR="000F17A1" w:rsidRPr="00AC01C1">
        <w:rPr>
          <w:rFonts w:ascii="Trebuchet MS" w:hAnsi="Trebuchet MS"/>
        </w:rPr>
        <w:t>xDSL</w:t>
      </w:r>
      <w:proofErr w:type="spellEnd"/>
      <w:r w:rsidR="000F17A1" w:rsidRPr="00AC01C1">
        <w:rPr>
          <w:rFonts w:ascii="Trebuchet MS" w:hAnsi="Trebuchet MS"/>
        </w:rPr>
        <w:t>,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r w:rsidR="002D3C64" w:rsidRPr="00AC01C1">
        <w:rPr>
          <w:rFonts w:ascii="Trebuchet MS" w:hAnsi="Trebuchet MS"/>
        </w:rPr>
        <w:t>;</w:t>
      </w:r>
    </w:p>
    <w:p w14:paraId="4F5A4B94" w14:textId="77777777" w:rsidR="000F17A1" w:rsidRPr="00AC01C1" w:rsidRDefault="00017EE5" w:rsidP="00D907EB">
      <w:pPr>
        <w:pStyle w:val="Akapitzlist"/>
        <w:numPr>
          <w:ilvl w:val="0"/>
          <w:numId w:val="1"/>
        </w:numPr>
        <w:spacing w:after="100" w:line="276" w:lineRule="auto"/>
        <w:ind w:left="426" w:hanging="349"/>
        <w:contextualSpacing w:val="0"/>
        <w:jc w:val="both"/>
        <w:rPr>
          <w:rFonts w:ascii="Trebuchet MS" w:hAnsi="Trebuchet MS"/>
        </w:rPr>
      </w:pPr>
      <w:r w:rsidRPr="00AC01C1">
        <w:rPr>
          <w:rFonts w:ascii="Trebuchet MS" w:hAnsi="Trebuchet MS"/>
        </w:rPr>
        <w:t>d</w:t>
      </w:r>
      <w:r w:rsidR="000F17A1" w:rsidRPr="00AC01C1">
        <w:rPr>
          <w:rFonts w:ascii="Trebuchet MS" w:hAnsi="Trebuchet MS"/>
        </w:rPr>
        <w:t xml:space="preserve">la projektów realizowanych w obszarze zabudowy: </w:t>
      </w:r>
    </w:p>
    <w:p w14:paraId="56125F41" w14:textId="77777777" w:rsidR="000F17A1" w:rsidRPr="00AC01C1" w:rsidRDefault="000F17A1" w:rsidP="00242ACB">
      <w:pPr>
        <w:pStyle w:val="Akapitzlist"/>
        <w:numPr>
          <w:ilvl w:val="1"/>
          <w:numId w:val="2"/>
        </w:numPr>
        <w:spacing w:after="100" w:line="276" w:lineRule="auto"/>
        <w:ind w:left="426"/>
        <w:contextualSpacing w:val="0"/>
        <w:jc w:val="both"/>
        <w:rPr>
          <w:rFonts w:ascii="Trebuchet MS" w:hAnsi="Trebuchet MS"/>
        </w:rPr>
      </w:pPr>
      <w:r w:rsidRPr="00AC01C1">
        <w:rPr>
          <w:rFonts w:ascii="Trebuchet MS" w:hAnsi="Trebuchet MS"/>
        </w:rPr>
        <w:t xml:space="preserve">jednorodzinnej </w:t>
      </w:r>
      <w:r w:rsidR="00AC01C1" w:rsidRPr="00AC01C1">
        <w:rPr>
          <w:rFonts w:ascii="Trebuchet MS" w:hAnsi="Trebuchet MS"/>
        </w:rPr>
        <w:t>–</w:t>
      </w:r>
      <w:r w:rsidRPr="00AC01C1">
        <w:rPr>
          <w:rFonts w:ascii="Trebuchet MS" w:hAnsi="Trebuchet MS"/>
        </w:rPr>
        <w:t xml:space="preserve"> za niekwalifikowalne uznaje się wydatki na realizację odcinka linii kablowych i ich duktów od granicy działki ewidencyjnej, na której usytuowany jest budynek, w którym znajduje się zakończenie tego odcinka, aż do zakończenia sieci, </w:t>
      </w:r>
    </w:p>
    <w:p w14:paraId="19DD2F6F" w14:textId="77777777" w:rsidR="000F17A1" w:rsidRPr="00AC01C1" w:rsidRDefault="000F17A1" w:rsidP="00242ACB">
      <w:pPr>
        <w:pStyle w:val="Akapitzlist"/>
        <w:numPr>
          <w:ilvl w:val="1"/>
          <w:numId w:val="2"/>
        </w:numPr>
        <w:spacing w:after="100" w:line="276" w:lineRule="auto"/>
        <w:ind w:left="426"/>
        <w:contextualSpacing w:val="0"/>
        <w:jc w:val="both"/>
        <w:rPr>
          <w:rFonts w:ascii="Trebuchet MS" w:hAnsi="Trebuchet MS"/>
        </w:rPr>
      </w:pPr>
      <w:r w:rsidRPr="00AC01C1">
        <w:rPr>
          <w:rFonts w:ascii="Trebuchet MS" w:hAnsi="Trebuchet MS"/>
        </w:rPr>
        <w:t xml:space="preserve">wielorodzinnej </w:t>
      </w:r>
      <w:r w:rsidR="00AC01C1" w:rsidRPr="00AC01C1">
        <w:rPr>
          <w:rFonts w:ascii="Trebuchet MS" w:hAnsi="Trebuchet MS"/>
        </w:rPr>
        <w:t>–</w:t>
      </w:r>
      <w:r w:rsidRPr="00AC01C1">
        <w:rPr>
          <w:rFonts w:ascii="Trebuchet MS" w:hAnsi="Trebuchet MS"/>
        </w:rPr>
        <w:t xml:space="preserve"> za niekwalifikowalne uznaje się wydatki na realizację instalacji odcinka linii kablowych i ich duktów wewnątrz budynku wielorodzinnego, w tym odcinka linii kablowych i ich duktów instalacji wewnątrz mieszkań. Dotyczy to odcinka linii kablowych i ich duktów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projektu współfinansowanego w ramach konkursu, wskazana definicja będzie stosowana odpowiednio również do budynków istniejących) do zakończenia sieci, </w:t>
      </w:r>
    </w:p>
    <w:p w14:paraId="5571819A" w14:textId="77777777" w:rsidR="000F17A1" w:rsidRPr="00AC01C1" w:rsidRDefault="000F17A1" w:rsidP="00242ACB">
      <w:pPr>
        <w:pStyle w:val="Akapitzlist"/>
        <w:numPr>
          <w:ilvl w:val="1"/>
          <w:numId w:val="2"/>
        </w:numPr>
        <w:spacing w:after="100" w:line="276" w:lineRule="auto"/>
        <w:ind w:left="426"/>
        <w:contextualSpacing w:val="0"/>
        <w:jc w:val="both"/>
        <w:rPr>
          <w:rFonts w:ascii="Trebuchet MS" w:hAnsi="Trebuchet MS"/>
        </w:rPr>
      </w:pPr>
      <w:r w:rsidRPr="00AC01C1">
        <w:rPr>
          <w:rFonts w:ascii="Trebuchet MS" w:hAnsi="Trebuchet MS"/>
        </w:rPr>
        <w:t>wielorodzinnej typu szeregowego, stosuje się odpowiednio zasady dla zabudowy jednorodzinnej, przy czym uznaje się, że każdy wydzielony lokal mieszkalny może być traktowany jak odrębny dom jednorodzinny</w:t>
      </w:r>
      <w:r w:rsidR="002D3C64" w:rsidRPr="00AC01C1">
        <w:rPr>
          <w:rFonts w:ascii="Trebuchet MS" w:hAnsi="Trebuchet MS"/>
        </w:rPr>
        <w:t>,</w:t>
      </w:r>
    </w:p>
    <w:p w14:paraId="7E85C756" w14:textId="77777777" w:rsidR="0029346B" w:rsidRPr="00AC01C1" w:rsidRDefault="000F17A1" w:rsidP="00D907EB">
      <w:pPr>
        <w:pStyle w:val="Akapitzlist"/>
        <w:spacing w:after="100" w:line="276" w:lineRule="auto"/>
        <w:ind w:left="426"/>
        <w:contextualSpacing w:val="0"/>
        <w:jc w:val="both"/>
        <w:rPr>
          <w:rFonts w:ascii="Trebuchet MS" w:hAnsi="Trebuchet MS"/>
        </w:rPr>
      </w:pPr>
      <w:r w:rsidRPr="00AC01C1">
        <w:rPr>
          <w:rFonts w:ascii="Trebuchet MS" w:hAnsi="Trebuchet MS"/>
        </w:rPr>
        <w:t xml:space="preserve">W przypadku mieszanego typu zabudowy danego obszaru, powyższe zasady stosuje się odpowiednio dla danego typu budynku jednorodzinnego, wielorodzinnego lub wielorodzinnego szeregowego. W przypadku realizacji projektu w technologii bezprzewodowej za niekwalifikowalne uznaje się wydatki dotyczące elementów infrastruktury i sieci telekomunikacyjnej instalowane w budynku stanowiącym lokalizację potencjalnego użytkownika końcowego. </w:t>
      </w:r>
    </w:p>
    <w:p w14:paraId="6D3D18A3" w14:textId="77777777" w:rsidR="0029346B" w:rsidRPr="00E6059A" w:rsidRDefault="002D3C64" w:rsidP="00D907EB">
      <w:pPr>
        <w:pStyle w:val="Akapitzlist"/>
        <w:numPr>
          <w:ilvl w:val="0"/>
          <w:numId w:val="1"/>
        </w:numPr>
        <w:spacing w:after="100" w:line="276" w:lineRule="auto"/>
        <w:ind w:left="426"/>
        <w:contextualSpacing w:val="0"/>
        <w:jc w:val="both"/>
        <w:rPr>
          <w:rFonts w:ascii="Trebuchet MS" w:hAnsi="Trebuchet MS"/>
        </w:rPr>
      </w:pPr>
      <w:r w:rsidRPr="00E6059A">
        <w:rPr>
          <w:rFonts w:ascii="Trebuchet MS" w:hAnsi="Trebuchet MS"/>
        </w:rPr>
        <w:lastRenderedPageBreak/>
        <w:t>w</w:t>
      </w:r>
      <w:r w:rsidR="000F17A1" w:rsidRPr="00E6059A">
        <w:rPr>
          <w:rFonts w:ascii="Trebuchet MS" w:hAnsi="Trebuchet MS"/>
        </w:rPr>
        <w:t>szelkie wydatki dotyczące aktywnych elementów sieci, w szczególności urządzeń telekomunikacyjnych, w tym urządzeń radiowych</w:t>
      </w:r>
      <w:r w:rsidR="00F64558" w:rsidRPr="00E6059A">
        <w:rPr>
          <w:rFonts w:ascii="Trebuchet MS" w:hAnsi="Trebuchet MS"/>
        </w:rPr>
        <w:t>,</w:t>
      </w:r>
      <w:r w:rsidR="000F17A1" w:rsidRPr="00E6059A">
        <w:rPr>
          <w:rFonts w:ascii="Trebuchet MS" w:hAnsi="Trebuchet MS"/>
        </w:rPr>
        <w:t xml:space="preserve"> instalowanych w telekomunikacyjnej sieci szkieletowej i dystrybucyjnej</w:t>
      </w:r>
      <w:r w:rsidRPr="00E6059A">
        <w:rPr>
          <w:rFonts w:ascii="Trebuchet MS" w:hAnsi="Trebuchet MS"/>
        </w:rPr>
        <w:t>;</w:t>
      </w:r>
    </w:p>
    <w:p w14:paraId="5BE722B8" w14:textId="77777777" w:rsidR="0029346B" w:rsidRPr="00AC01C1" w:rsidRDefault="002D3C64" w:rsidP="00D907EB">
      <w:pPr>
        <w:pStyle w:val="Akapitzlist"/>
        <w:numPr>
          <w:ilvl w:val="0"/>
          <w:numId w:val="1"/>
        </w:numPr>
        <w:spacing w:after="100" w:line="276" w:lineRule="auto"/>
        <w:ind w:left="426"/>
        <w:contextualSpacing w:val="0"/>
        <w:jc w:val="both"/>
        <w:rPr>
          <w:rFonts w:ascii="Trebuchet MS" w:hAnsi="Trebuchet MS"/>
        </w:rPr>
      </w:pPr>
      <w:r w:rsidRPr="00AC01C1">
        <w:rPr>
          <w:rFonts w:ascii="Trebuchet MS" w:hAnsi="Trebuchet MS"/>
        </w:rPr>
        <w:t>w</w:t>
      </w:r>
      <w:r w:rsidR="000F17A1" w:rsidRPr="00AC01C1">
        <w:rPr>
          <w:rFonts w:ascii="Trebuchet MS" w:hAnsi="Trebuchet MS"/>
        </w:rPr>
        <w:t>szelkie wydatki związane z działaniami informacyjno-promocyjnymi w ramach projekt</w:t>
      </w:r>
      <w:r w:rsidR="0029346B" w:rsidRPr="00AC01C1">
        <w:rPr>
          <w:rFonts w:ascii="Trebuchet MS" w:hAnsi="Trebuchet MS"/>
        </w:rPr>
        <w:t>u</w:t>
      </w:r>
      <w:r w:rsidRPr="00AC01C1">
        <w:rPr>
          <w:rFonts w:ascii="Trebuchet MS" w:hAnsi="Trebuchet MS"/>
        </w:rPr>
        <w:t>;</w:t>
      </w:r>
    </w:p>
    <w:p w14:paraId="4D2BD046" w14:textId="77777777" w:rsidR="0029346B" w:rsidRPr="00AC01C1" w:rsidRDefault="002D3C64" w:rsidP="00D907EB">
      <w:pPr>
        <w:pStyle w:val="Akapitzlist"/>
        <w:numPr>
          <w:ilvl w:val="0"/>
          <w:numId w:val="1"/>
        </w:numPr>
        <w:spacing w:after="100" w:line="276" w:lineRule="auto"/>
        <w:ind w:left="426"/>
        <w:contextualSpacing w:val="0"/>
        <w:jc w:val="both"/>
        <w:rPr>
          <w:rFonts w:ascii="Trebuchet MS" w:hAnsi="Trebuchet MS"/>
        </w:rPr>
      </w:pPr>
      <w:r w:rsidRPr="00AC01C1">
        <w:rPr>
          <w:rFonts w:ascii="Trebuchet MS" w:hAnsi="Trebuchet MS"/>
        </w:rPr>
        <w:t>w</w:t>
      </w:r>
      <w:r w:rsidR="000F17A1" w:rsidRPr="00AC01C1">
        <w:rPr>
          <w:rFonts w:ascii="Trebuchet MS" w:hAnsi="Trebuchet MS"/>
        </w:rPr>
        <w:t xml:space="preserve">szelkie wydatki dotyczące realizacji infrastruktury i sieci w zakresie wykraczającym poza minimalne wymagania określone w </w:t>
      </w:r>
      <w:r w:rsidR="0029346B" w:rsidRPr="00AC01C1">
        <w:rPr>
          <w:rFonts w:ascii="Trebuchet MS" w:hAnsi="Trebuchet MS"/>
        </w:rPr>
        <w:t>załączniku nr 7 do regulaminu</w:t>
      </w:r>
      <w:r w:rsidRPr="00AC01C1">
        <w:rPr>
          <w:rFonts w:ascii="Trebuchet MS" w:hAnsi="Trebuchet MS"/>
        </w:rPr>
        <w:t>;</w:t>
      </w:r>
    </w:p>
    <w:p w14:paraId="24E1E8B2" w14:textId="77777777" w:rsidR="0029346B" w:rsidRPr="00AC01C1" w:rsidRDefault="002D3C64" w:rsidP="00D907EB">
      <w:pPr>
        <w:pStyle w:val="Akapitzlist"/>
        <w:numPr>
          <w:ilvl w:val="0"/>
          <w:numId w:val="1"/>
        </w:numPr>
        <w:spacing w:after="100" w:line="276" w:lineRule="auto"/>
        <w:ind w:left="426"/>
        <w:contextualSpacing w:val="0"/>
        <w:jc w:val="both"/>
        <w:rPr>
          <w:rFonts w:ascii="Trebuchet MS" w:hAnsi="Trebuchet MS"/>
        </w:rPr>
      </w:pPr>
      <w:r w:rsidRPr="00AC01C1">
        <w:rPr>
          <w:rFonts w:ascii="Trebuchet MS" w:hAnsi="Trebuchet MS"/>
        </w:rPr>
        <w:t>w</w:t>
      </w:r>
      <w:r w:rsidR="000F17A1" w:rsidRPr="00AC01C1">
        <w:rPr>
          <w:rFonts w:ascii="Trebuchet MS" w:hAnsi="Trebuchet MS"/>
        </w:rPr>
        <w:t xml:space="preserve">szelkie wydatki związane ze świadczeniem usług detalicznych i hurtowych, w tym zapewnieniem obsługi klientów, rozliczeń z nimi, przedstawienia ofert i cenników. </w:t>
      </w:r>
    </w:p>
    <w:p w14:paraId="09A8B149" w14:textId="77777777" w:rsidR="0029346B" w:rsidRPr="00AC01C1" w:rsidRDefault="002D3C64" w:rsidP="00D907EB">
      <w:pPr>
        <w:pStyle w:val="Akapitzlist"/>
        <w:numPr>
          <w:ilvl w:val="0"/>
          <w:numId w:val="1"/>
        </w:numPr>
        <w:spacing w:after="100" w:line="276" w:lineRule="auto"/>
        <w:ind w:left="426"/>
        <w:contextualSpacing w:val="0"/>
        <w:jc w:val="both"/>
        <w:rPr>
          <w:rFonts w:ascii="Trebuchet MS" w:hAnsi="Trebuchet MS"/>
        </w:rPr>
      </w:pPr>
      <w:r w:rsidRPr="00AC01C1">
        <w:rPr>
          <w:rFonts w:ascii="Trebuchet MS" w:hAnsi="Trebuchet MS"/>
        </w:rPr>
        <w:t>w</w:t>
      </w:r>
      <w:r w:rsidR="000F17A1" w:rsidRPr="00AC01C1">
        <w:rPr>
          <w:rFonts w:ascii="Trebuchet MS" w:hAnsi="Trebuchet MS"/>
        </w:rPr>
        <w:t>szelkie wydatki dotyczące realizacji infrastruktury i sieci w zakresie w jakim ich realizacja wynika z zobowiązań lub obowiązków nałożonych przez podmioty publiczne (innych niż wynikające z realizacji umowy o dofinasowanie)</w:t>
      </w:r>
      <w:r w:rsidRPr="00AC01C1">
        <w:rPr>
          <w:rFonts w:ascii="Trebuchet MS" w:hAnsi="Trebuchet MS"/>
        </w:rPr>
        <w:t>;</w:t>
      </w:r>
    </w:p>
    <w:p w14:paraId="27A5EEF9" w14:textId="77777777" w:rsidR="00F64558" w:rsidRPr="00AC01C1" w:rsidRDefault="00F64558" w:rsidP="00D907EB">
      <w:pPr>
        <w:pStyle w:val="Akapitzlist"/>
        <w:numPr>
          <w:ilvl w:val="0"/>
          <w:numId w:val="1"/>
        </w:numPr>
        <w:spacing w:after="100" w:line="276" w:lineRule="auto"/>
        <w:ind w:left="426"/>
        <w:contextualSpacing w:val="0"/>
        <w:jc w:val="both"/>
        <w:rPr>
          <w:rFonts w:ascii="Trebuchet MS" w:hAnsi="Trebuchet MS"/>
        </w:rPr>
      </w:pPr>
      <w:r w:rsidRPr="00AC01C1">
        <w:rPr>
          <w:rFonts w:ascii="Trebuchet MS" w:hAnsi="Trebuchet MS"/>
        </w:rPr>
        <w:t xml:space="preserve">koszty nabycia prawa dysponowania nieruchomością, z wyjątkiem opłat, o których mowa w § 1 </w:t>
      </w:r>
      <w:r w:rsidR="00AC01C1" w:rsidRPr="00AC01C1">
        <w:rPr>
          <w:rFonts w:ascii="Trebuchet MS" w:hAnsi="Trebuchet MS"/>
        </w:rPr>
        <w:t>ust. 1 pkt 6,</w:t>
      </w:r>
    </w:p>
    <w:p w14:paraId="23CD9BCD" w14:textId="77777777" w:rsidR="0029346B" w:rsidRPr="00AC01C1" w:rsidRDefault="002D3C64" w:rsidP="00D907EB">
      <w:pPr>
        <w:pStyle w:val="Akapitzlist"/>
        <w:numPr>
          <w:ilvl w:val="0"/>
          <w:numId w:val="1"/>
        </w:numPr>
        <w:spacing w:after="100" w:line="276" w:lineRule="auto"/>
        <w:ind w:left="426"/>
        <w:contextualSpacing w:val="0"/>
        <w:jc w:val="both"/>
        <w:rPr>
          <w:rFonts w:ascii="Trebuchet MS" w:hAnsi="Trebuchet MS"/>
        </w:rPr>
      </w:pPr>
      <w:r w:rsidRPr="00AC01C1">
        <w:rPr>
          <w:rFonts w:ascii="Trebuchet MS" w:hAnsi="Trebuchet MS"/>
        </w:rPr>
        <w:t>k</w:t>
      </w:r>
      <w:r w:rsidR="000F17A1" w:rsidRPr="00AC01C1">
        <w:rPr>
          <w:rFonts w:ascii="Trebuchet MS" w:hAnsi="Trebuchet MS"/>
        </w:rPr>
        <w:t>oszty pośrednie</w:t>
      </w:r>
      <w:r w:rsidR="004C0DE3" w:rsidRPr="00AC01C1">
        <w:rPr>
          <w:rFonts w:ascii="Trebuchet MS" w:hAnsi="Trebuchet MS"/>
        </w:rPr>
        <w:t xml:space="preserve"> (tj. koszty niezbędne do realizacji projektu, ale niedotyczące bezpośrednio głównego przedmiotu projektu)</w:t>
      </w:r>
      <w:r w:rsidRPr="00AC01C1">
        <w:rPr>
          <w:rFonts w:ascii="Trebuchet MS" w:hAnsi="Trebuchet MS"/>
        </w:rPr>
        <w:t>;</w:t>
      </w:r>
    </w:p>
    <w:p w14:paraId="21DEDD0B" w14:textId="77777777" w:rsidR="002D3C64" w:rsidRPr="00AC01C1" w:rsidRDefault="002D3C64" w:rsidP="00D907EB">
      <w:pPr>
        <w:pStyle w:val="Akapitzlist"/>
        <w:numPr>
          <w:ilvl w:val="0"/>
          <w:numId w:val="1"/>
        </w:numPr>
        <w:spacing w:after="100" w:line="276" w:lineRule="auto"/>
        <w:ind w:left="426"/>
        <w:contextualSpacing w:val="0"/>
        <w:jc w:val="both"/>
        <w:rPr>
          <w:rFonts w:ascii="Trebuchet MS" w:hAnsi="Trebuchet MS"/>
        </w:rPr>
      </w:pPr>
      <w:r w:rsidRPr="00AC01C1">
        <w:rPr>
          <w:rFonts w:ascii="Trebuchet MS" w:hAnsi="Trebuchet MS"/>
        </w:rPr>
        <w:t>wydatki przekraczające maksymalne limity kosztów kwalifikowalnych w ramach danej kategorii,</w:t>
      </w:r>
    </w:p>
    <w:p w14:paraId="7DD2B31A" w14:textId="77777777" w:rsidR="000F17A1" w:rsidRPr="00AC01C1" w:rsidRDefault="002D3C64" w:rsidP="00D907EB">
      <w:pPr>
        <w:pStyle w:val="Akapitzlist"/>
        <w:numPr>
          <w:ilvl w:val="0"/>
          <w:numId w:val="1"/>
        </w:numPr>
        <w:spacing w:after="100" w:line="276" w:lineRule="auto"/>
        <w:ind w:left="426"/>
        <w:contextualSpacing w:val="0"/>
        <w:jc w:val="both"/>
        <w:rPr>
          <w:rFonts w:ascii="Trebuchet MS" w:hAnsi="Trebuchet MS"/>
        </w:rPr>
      </w:pPr>
      <w:r w:rsidRPr="00AC01C1">
        <w:rPr>
          <w:rFonts w:ascii="Trebuchet MS" w:hAnsi="Trebuchet MS"/>
        </w:rPr>
        <w:t>i</w:t>
      </w:r>
      <w:r w:rsidR="000F17A1" w:rsidRPr="00AC01C1">
        <w:rPr>
          <w:rFonts w:ascii="Trebuchet MS" w:hAnsi="Trebuchet MS"/>
        </w:rPr>
        <w:t xml:space="preserve">nne wydatki niewymienione w katalogu </w:t>
      </w:r>
      <w:r w:rsidRPr="00AC01C1">
        <w:rPr>
          <w:rFonts w:ascii="Trebuchet MS" w:hAnsi="Trebuchet MS"/>
        </w:rPr>
        <w:t>kosztów</w:t>
      </w:r>
      <w:r w:rsidR="000F17A1" w:rsidRPr="00AC01C1">
        <w:rPr>
          <w:rFonts w:ascii="Trebuchet MS" w:hAnsi="Trebuchet MS"/>
        </w:rPr>
        <w:t xml:space="preserve"> kwalifikowalnych.</w:t>
      </w:r>
    </w:p>
    <w:p w14:paraId="172DF0EC" w14:textId="77777777" w:rsidR="00994081" w:rsidRPr="00AC01C1" w:rsidRDefault="00994081" w:rsidP="00242ACB">
      <w:pPr>
        <w:pStyle w:val="Akapitzlist"/>
        <w:numPr>
          <w:ilvl w:val="0"/>
          <w:numId w:val="7"/>
        </w:numPr>
        <w:spacing w:after="100" w:line="276" w:lineRule="auto"/>
        <w:ind w:left="284"/>
        <w:contextualSpacing w:val="0"/>
        <w:jc w:val="both"/>
        <w:rPr>
          <w:rFonts w:ascii="Trebuchet MS" w:hAnsi="Trebuchet MS"/>
        </w:rPr>
      </w:pPr>
      <w:r w:rsidRPr="00AC01C1">
        <w:rPr>
          <w:rFonts w:ascii="Trebuchet MS" w:hAnsi="Trebuchet MS"/>
        </w:rPr>
        <w:t xml:space="preserve">Ponadto, za </w:t>
      </w:r>
      <w:r w:rsidRPr="00AC01C1">
        <w:rPr>
          <w:rFonts w:ascii="Trebuchet MS" w:hAnsi="Trebuchet MS"/>
          <w:b/>
          <w:bCs/>
          <w:u w:val="single"/>
        </w:rPr>
        <w:t>niekwalifikowalne</w:t>
      </w:r>
      <w:r w:rsidRPr="00AC01C1">
        <w:rPr>
          <w:rFonts w:ascii="Trebuchet MS" w:hAnsi="Trebuchet MS"/>
        </w:rPr>
        <w:t xml:space="preserve"> uznaje się </w:t>
      </w:r>
      <w:r w:rsidR="00AC01C1" w:rsidRPr="00AC01C1">
        <w:rPr>
          <w:rFonts w:ascii="Trebuchet MS" w:hAnsi="Trebuchet MS"/>
        </w:rPr>
        <w:t xml:space="preserve">w szczególności </w:t>
      </w:r>
      <w:r w:rsidRPr="00AC01C1">
        <w:rPr>
          <w:rFonts w:ascii="Trebuchet MS" w:hAnsi="Trebuchet MS"/>
        </w:rPr>
        <w:t>wydatki określone w ramach poniższych kategorii:</w:t>
      </w:r>
    </w:p>
    <w:p w14:paraId="5880469B" w14:textId="77777777" w:rsidR="00994081" w:rsidRPr="00AC01C1" w:rsidRDefault="00994081"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prowizje pobierane w ramach operacji wymiany walut,</w:t>
      </w:r>
    </w:p>
    <w:p w14:paraId="4C217CFA" w14:textId="77777777" w:rsidR="00994081" w:rsidRPr="00AC01C1" w:rsidRDefault="00994081"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odsetki od zadłużenia,</w:t>
      </w:r>
    </w:p>
    <w:p w14:paraId="3BC46667" w14:textId="77777777" w:rsidR="00994081" w:rsidRPr="00AC01C1" w:rsidRDefault="00994081"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koszty pożyczki lub kredytu zaciągniętego na prefinansowanie dotacji,</w:t>
      </w:r>
    </w:p>
    <w:p w14:paraId="78994040" w14:textId="77777777" w:rsidR="00994081" w:rsidRPr="00AC01C1" w:rsidRDefault="00994081"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kary i grzywny,</w:t>
      </w:r>
    </w:p>
    <w:p w14:paraId="2A42D85A" w14:textId="77777777" w:rsidR="00994081" w:rsidRPr="00AC01C1" w:rsidRDefault="00994081"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świadczenia realizowane ze środków Zakładowego Funduszu Świadczeń Socjalnych (ZFŚS),</w:t>
      </w:r>
    </w:p>
    <w:p w14:paraId="6172CD55" w14:textId="77777777" w:rsidR="00994081" w:rsidRPr="00AC01C1" w:rsidRDefault="00994081"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 xml:space="preserve">odprawy </w:t>
      </w:r>
      <w:proofErr w:type="spellStart"/>
      <w:r w:rsidRPr="00AC01C1">
        <w:rPr>
          <w:rFonts w:ascii="Trebuchet MS" w:hAnsi="Trebuchet MS"/>
        </w:rPr>
        <w:t>emerytalno</w:t>
      </w:r>
      <w:proofErr w:type="spellEnd"/>
      <w:r w:rsidRPr="00AC01C1">
        <w:rPr>
          <w:rFonts w:ascii="Trebuchet MS" w:hAnsi="Trebuchet MS"/>
        </w:rPr>
        <w:t xml:space="preserve"> – rentowe personelu projektu, </w:t>
      </w:r>
    </w:p>
    <w:p w14:paraId="0C3C3184" w14:textId="77777777" w:rsidR="00994081" w:rsidRPr="00AC01C1" w:rsidRDefault="00994081"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rozliczony notą księgową koszt zakupu środka trwałego będącego własnością beneficjenta lub prawa przysługującego beneficjentowi</w:t>
      </w:r>
      <w:r w:rsidR="002D3C64" w:rsidRPr="00AC01C1">
        <w:rPr>
          <w:rFonts w:ascii="Trebuchet MS" w:hAnsi="Trebuchet MS"/>
        </w:rPr>
        <w:t>,</w:t>
      </w:r>
    </w:p>
    <w:p w14:paraId="7C443D30" w14:textId="77777777" w:rsidR="00994081" w:rsidRPr="00AC01C1" w:rsidRDefault="00994081"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 xml:space="preserve">wpłaty na Państwowy Fundusz Rehabilitacji Osób Niepełnosprawnych (PFRON), </w:t>
      </w:r>
    </w:p>
    <w:p w14:paraId="60EC4908" w14:textId="77777777" w:rsidR="00994081" w:rsidRPr="00AC01C1" w:rsidRDefault="00994081"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 xml:space="preserve">koszty postępowania sądowego, wydatki związane z przygotowaniem i obsługą prawną spraw sądowych oraz wydatki poniesione na funkcjonowanie komisji rozjemczych, </w:t>
      </w:r>
    </w:p>
    <w:p w14:paraId="63BA95A4" w14:textId="77777777" w:rsidR="00994081" w:rsidRPr="00AC01C1" w:rsidRDefault="00994081"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 xml:space="preserve">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estakady, obiekty kubaturowe, itp.); 7 lub 10 lat liczone jest w miesiącach kalendarzowych od daty rozliczenia wydatku, </w:t>
      </w:r>
    </w:p>
    <w:p w14:paraId="080B9756" w14:textId="77777777" w:rsidR="00994081" w:rsidRPr="00AC01C1" w:rsidRDefault="00994081"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lastRenderedPageBreak/>
        <w:t xml:space="preserve">podatek od towarów i usług (VAT), który może zostać odzyskany przez beneficjenta albo inny podmiot zaangażowany w projekt lub wykorzystujący do działalności opodatkowanej produkty będące efektem jego realizacji, zarówno w fazie realizacyjnej jak i operacyjnej, na podstawie przepisów krajowych, </w:t>
      </w:r>
    </w:p>
    <w:p w14:paraId="3FB98127" w14:textId="77777777" w:rsidR="00EE1207" w:rsidRPr="00AC01C1" w:rsidRDefault="00EE1207"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zakup lokali mieszkalnych,</w:t>
      </w:r>
    </w:p>
    <w:p w14:paraId="4A9C96E0" w14:textId="77777777" w:rsidR="00EE1207" w:rsidRPr="00AC01C1" w:rsidRDefault="00EE1207"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inne niż część kapitałowa raty leasingowej wydatki związane z umową leasingu, w szczególności marża finansującego, odsetki od refinansowania kosztów, koszty ogólne, opłaty ubezpieczeniowe,</w:t>
      </w:r>
    </w:p>
    <w:p w14:paraId="7454E3D1" w14:textId="3682B236" w:rsidR="00EE1207" w:rsidRPr="00AC01C1" w:rsidRDefault="00EE1207"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transakcje, bez względu na liczbę wynikających z nich płatności, dokonane w gotówce, których wartość przekracza kwotę, o której mowa w art. 19 ustawy z dnia 6 marca 2018r. Prawo przedsiębiorców (</w:t>
      </w:r>
      <w:r w:rsidR="00E6059A" w:rsidRPr="00E6059A">
        <w:rPr>
          <w:rFonts w:ascii="Trebuchet MS" w:hAnsi="Trebuchet MS"/>
        </w:rPr>
        <w:t>t. jedn. Dz. U. z 2023 r. poz. 221,</w:t>
      </w:r>
      <w:r w:rsidRPr="00AC01C1">
        <w:rPr>
          <w:rFonts w:ascii="Trebuchet MS" w:hAnsi="Trebuchet MS"/>
        </w:rPr>
        <w:t xml:space="preserve">, z </w:t>
      </w:r>
      <w:proofErr w:type="spellStart"/>
      <w:r w:rsidRPr="00AC01C1">
        <w:rPr>
          <w:rFonts w:ascii="Trebuchet MS" w:hAnsi="Trebuchet MS"/>
        </w:rPr>
        <w:t>późn</w:t>
      </w:r>
      <w:proofErr w:type="spellEnd"/>
      <w:r w:rsidRPr="00AC01C1">
        <w:rPr>
          <w:rFonts w:ascii="Trebuchet MS" w:hAnsi="Trebuchet MS"/>
        </w:rPr>
        <w:t>. zm.),</w:t>
      </w:r>
    </w:p>
    <w:p w14:paraId="77B4BDF6" w14:textId="77777777" w:rsidR="00EE1207" w:rsidRPr="00AC01C1" w:rsidRDefault="00EE1207"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wydatki poniesione na przygotowanie wniosku o dofinansowanie</w:t>
      </w:r>
      <w:r w:rsidR="00B41DC6" w:rsidRPr="00AC01C1">
        <w:rPr>
          <w:rFonts w:ascii="Trebuchet MS" w:hAnsi="Trebuchet MS"/>
        </w:rPr>
        <w:t>, w tym na studium wykonalności,</w:t>
      </w:r>
    </w:p>
    <w:p w14:paraId="6BE87C14" w14:textId="77777777" w:rsidR="00EE1207" w:rsidRPr="00AC01C1" w:rsidRDefault="002D3C64"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 xml:space="preserve">wszelkie wydatki </w:t>
      </w:r>
      <w:r w:rsidR="00EE1207" w:rsidRPr="00AC01C1">
        <w:rPr>
          <w:rFonts w:ascii="Trebuchet MS" w:hAnsi="Trebuchet MS"/>
        </w:rPr>
        <w:t>beneficjentów będących przedsiębiorstwami w trudnej sytuacji w rozumieniu unijnych przepisów dotyczących pomocy publicznej</w:t>
      </w:r>
      <w:r w:rsidR="00FE2CC5" w:rsidRPr="00AC01C1">
        <w:rPr>
          <w:rFonts w:ascii="Trebuchet MS" w:hAnsi="Trebuchet MS"/>
        </w:rPr>
        <w:t>,</w:t>
      </w:r>
    </w:p>
    <w:p w14:paraId="50ECF2E4" w14:textId="77777777" w:rsidR="002D3C64" w:rsidRPr="00AC01C1" w:rsidRDefault="00FE2CC5"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wynagrodzeni</w:t>
      </w:r>
      <w:r w:rsidR="00B41DC6" w:rsidRPr="00AC01C1">
        <w:rPr>
          <w:rFonts w:ascii="Trebuchet MS" w:hAnsi="Trebuchet MS"/>
        </w:rPr>
        <w:t>a i inne koszty poniesione przez Beneficjenta na</w:t>
      </w:r>
      <w:r w:rsidRPr="00AC01C1">
        <w:rPr>
          <w:rFonts w:ascii="Trebuchet MS" w:hAnsi="Trebuchet MS"/>
        </w:rPr>
        <w:t xml:space="preserve"> </w:t>
      </w:r>
      <w:r w:rsidR="002D3C64" w:rsidRPr="00AC01C1">
        <w:rPr>
          <w:rFonts w:ascii="Trebuchet MS" w:hAnsi="Trebuchet MS"/>
        </w:rPr>
        <w:t>pracowników Beneficjenta</w:t>
      </w:r>
      <w:r w:rsidR="00B41DC6" w:rsidRPr="00AC01C1">
        <w:rPr>
          <w:rFonts w:ascii="Trebuchet MS" w:hAnsi="Trebuchet MS"/>
        </w:rPr>
        <w:t>, w tym osoby zatrudnione na podstawie umów cywilnoprawnych</w:t>
      </w:r>
      <w:r w:rsidR="002D3C64" w:rsidRPr="00AC01C1">
        <w:rPr>
          <w:rFonts w:ascii="Trebuchet MS" w:hAnsi="Trebuchet MS"/>
        </w:rPr>
        <w:t>,</w:t>
      </w:r>
    </w:p>
    <w:p w14:paraId="2D2EF6C3" w14:textId="77777777" w:rsidR="004C0DE3" w:rsidRPr="00AC01C1" w:rsidRDefault="004C0DE3"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wydatki poniesione na odszkodowania w związku z realizacją inwestycji,</w:t>
      </w:r>
    </w:p>
    <w:p w14:paraId="7DBD59D3" w14:textId="77777777" w:rsidR="009A0BD8" w:rsidRPr="00AC01C1" w:rsidRDefault="009A0BD8"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koszty ubezpieczenia i udzielanych zabezpieczeń,</w:t>
      </w:r>
    </w:p>
    <w:p w14:paraId="642BDC53" w14:textId="77777777" w:rsidR="002D3C64" w:rsidRPr="00AC01C1" w:rsidRDefault="002D3C64"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wkład niepieniężny do projektu,</w:t>
      </w:r>
    </w:p>
    <w:p w14:paraId="01B052EB" w14:textId="77777777" w:rsidR="002D3C64" w:rsidRPr="00AC01C1" w:rsidRDefault="002D3C64"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odpisy amortyzacyjne,</w:t>
      </w:r>
    </w:p>
    <w:p w14:paraId="6469B106" w14:textId="77777777" w:rsidR="004C0DE3" w:rsidRPr="00AC01C1" w:rsidRDefault="002D3C64"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w</w:t>
      </w:r>
      <w:r w:rsidR="004C0DE3" w:rsidRPr="00AC01C1">
        <w:rPr>
          <w:rFonts w:ascii="Trebuchet MS" w:hAnsi="Trebuchet MS"/>
        </w:rPr>
        <w:t>ydatki operacyjne, czyli wydatki ponoszone w fazie eksploatacji inwestycji</w:t>
      </w:r>
      <w:r w:rsidR="004552C6" w:rsidRPr="00AC01C1">
        <w:rPr>
          <w:rFonts w:ascii="Trebuchet MS" w:hAnsi="Trebuchet MS"/>
        </w:rPr>
        <w:t>,</w:t>
      </w:r>
    </w:p>
    <w:p w14:paraId="45B9211A" w14:textId="77777777" w:rsidR="006973CF" w:rsidRPr="00AC01C1" w:rsidRDefault="00514101"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w</w:t>
      </w:r>
      <w:r w:rsidR="006973CF" w:rsidRPr="00AC01C1">
        <w:rPr>
          <w:rFonts w:ascii="Trebuchet MS" w:hAnsi="Trebuchet MS"/>
        </w:rPr>
        <w:t xml:space="preserve">ydatki dotyczące umów lub decyzji w zakresie art. 30 Ustawy dotyczące udostępnienia instalacji wewnątrzbudynkowej lub miejsca w budynku, </w:t>
      </w:r>
      <w:r w:rsidRPr="00AC01C1">
        <w:rPr>
          <w:rFonts w:ascii="Trebuchet MS" w:hAnsi="Trebuchet MS"/>
        </w:rPr>
        <w:t>z wyjątkiem</w:t>
      </w:r>
      <w:r w:rsidR="006973CF" w:rsidRPr="00AC01C1">
        <w:rPr>
          <w:rFonts w:ascii="Trebuchet MS" w:hAnsi="Trebuchet MS"/>
        </w:rPr>
        <w:t xml:space="preserve"> wydatk</w:t>
      </w:r>
      <w:r w:rsidRPr="00AC01C1">
        <w:rPr>
          <w:rFonts w:ascii="Trebuchet MS" w:hAnsi="Trebuchet MS"/>
        </w:rPr>
        <w:t xml:space="preserve">ów niezbędnych i </w:t>
      </w:r>
      <w:r w:rsidR="006973CF" w:rsidRPr="00AC01C1">
        <w:rPr>
          <w:rFonts w:ascii="Trebuchet MS" w:hAnsi="Trebuchet MS"/>
        </w:rPr>
        <w:t>związan</w:t>
      </w:r>
      <w:r w:rsidRPr="00AC01C1">
        <w:rPr>
          <w:rFonts w:ascii="Trebuchet MS" w:hAnsi="Trebuchet MS"/>
        </w:rPr>
        <w:t>ych</w:t>
      </w:r>
      <w:r w:rsidR="006973CF" w:rsidRPr="00AC01C1">
        <w:rPr>
          <w:rFonts w:ascii="Trebuchet MS" w:hAnsi="Trebuchet MS"/>
        </w:rPr>
        <w:t xml:space="preserve"> wyłącznie z realizacją punktu styku w budynku, o którym mowa w § 192f rozporządzenia Ministra Infrastruktury z dnia 12 kwietnia 2002 w sprawie warunków technicznych jakim powinny odpowiadać budynki i ich usytuowanie</w:t>
      </w:r>
      <w:r w:rsidR="004552C6" w:rsidRPr="00AC01C1">
        <w:rPr>
          <w:rFonts w:ascii="Trebuchet MS" w:hAnsi="Trebuchet MS"/>
        </w:rPr>
        <w:t>,</w:t>
      </w:r>
    </w:p>
    <w:p w14:paraId="6A37BED4" w14:textId="77777777" w:rsidR="004552C6" w:rsidRPr="00AC01C1" w:rsidRDefault="004552C6" w:rsidP="00242ACB">
      <w:pPr>
        <w:pStyle w:val="Akapitzlist"/>
        <w:numPr>
          <w:ilvl w:val="3"/>
          <w:numId w:val="2"/>
        </w:numPr>
        <w:spacing w:after="100" w:line="276" w:lineRule="auto"/>
        <w:ind w:left="426" w:hanging="426"/>
        <w:contextualSpacing w:val="0"/>
        <w:jc w:val="both"/>
        <w:rPr>
          <w:rFonts w:ascii="Trebuchet MS" w:hAnsi="Trebuchet MS"/>
        </w:rPr>
      </w:pPr>
      <w:r w:rsidRPr="00AC01C1">
        <w:rPr>
          <w:rFonts w:ascii="Trebuchet MS" w:hAnsi="Trebuchet MS"/>
        </w:rPr>
        <w:t>koszty zaliczek dla wykonawców</w:t>
      </w:r>
      <w:r w:rsidR="00B41DC6" w:rsidRPr="00AC01C1">
        <w:rPr>
          <w:rFonts w:ascii="Trebuchet MS" w:hAnsi="Trebuchet MS"/>
        </w:rPr>
        <w:t xml:space="preserve"> (zaliczki płacone przez Beneficjenta, w tym na podstawie faktur pro forma lub faktur zaliczkowych są wydatkiem niekwalifikowalnym, jednakże faktura rozliczająca zaliczkę może być uwzględniona we wniosku o płatność, jeżeli dotyczy wydatku kwalifikowalnego zgodnie z niniejszym załącznikiem)</w:t>
      </w:r>
      <w:r w:rsidRPr="00AC01C1">
        <w:rPr>
          <w:rFonts w:ascii="Trebuchet MS" w:hAnsi="Trebuchet MS"/>
        </w:rPr>
        <w:t>.</w:t>
      </w:r>
    </w:p>
    <w:p w14:paraId="77A0C9CB" w14:textId="77777777" w:rsidR="00994081" w:rsidRPr="00AC01C1" w:rsidRDefault="00994081" w:rsidP="00242ACB">
      <w:pPr>
        <w:pStyle w:val="Akapitzlist"/>
        <w:numPr>
          <w:ilvl w:val="0"/>
          <w:numId w:val="7"/>
        </w:numPr>
        <w:spacing w:after="100" w:line="276" w:lineRule="auto"/>
        <w:ind w:left="284"/>
        <w:contextualSpacing w:val="0"/>
        <w:jc w:val="both"/>
        <w:rPr>
          <w:rFonts w:ascii="Trebuchet MS" w:hAnsi="Trebuchet MS"/>
        </w:rPr>
      </w:pPr>
      <w:r w:rsidRPr="00AC01C1">
        <w:rPr>
          <w:rFonts w:ascii="Trebuchet MS" w:hAnsi="Trebuchet MS"/>
        </w:rPr>
        <w:t>Wydatki uznane za niekwalifikowalne, a związane z realizacją projektu, ponosi beneficjent jako strona umowy o dofinansowanie projektu.</w:t>
      </w:r>
    </w:p>
    <w:p w14:paraId="6E6A5778" w14:textId="77777777" w:rsidR="00D16786" w:rsidRPr="00AC01C1" w:rsidRDefault="00D16786" w:rsidP="00D907EB">
      <w:pPr>
        <w:spacing w:after="100" w:line="276" w:lineRule="auto"/>
        <w:ind w:left="66"/>
        <w:jc w:val="center"/>
        <w:rPr>
          <w:rFonts w:ascii="Trebuchet MS" w:hAnsi="Trebuchet MS"/>
          <w:b/>
          <w:bCs/>
        </w:rPr>
      </w:pPr>
      <w:r w:rsidRPr="00AC01C1">
        <w:rPr>
          <w:rFonts w:ascii="Trebuchet MS" w:hAnsi="Trebuchet MS"/>
          <w:b/>
          <w:bCs/>
        </w:rPr>
        <w:t xml:space="preserve">§ </w:t>
      </w:r>
      <w:r w:rsidR="00926DA7" w:rsidRPr="00AC01C1">
        <w:rPr>
          <w:rFonts w:ascii="Trebuchet MS" w:hAnsi="Trebuchet MS"/>
          <w:b/>
          <w:bCs/>
        </w:rPr>
        <w:t>4</w:t>
      </w:r>
    </w:p>
    <w:p w14:paraId="00AA9800" w14:textId="77777777" w:rsidR="00FD5BB2" w:rsidRPr="00AC01C1" w:rsidRDefault="00FD5BB2" w:rsidP="00242ACB">
      <w:pPr>
        <w:pStyle w:val="Akapitzlist"/>
        <w:numPr>
          <w:ilvl w:val="0"/>
          <w:numId w:val="3"/>
        </w:numPr>
        <w:spacing w:after="100" w:line="276" w:lineRule="auto"/>
        <w:contextualSpacing w:val="0"/>
        <w:jc w:val="both"/>
        <w:rPr>
          <w:rFonts w:ascii="Trebuchet MS" w:hAnsi="Trebuchet MS"/>
        </w:rPr>
      </w:pPr>
      <w:r w:rsidRPr="00AC01C1">
        <w:rPr>
          <w:rFonts w:ascii="Trebuchet MS" w:hAnsi="Trebuchet MS"/>
        </w:rPr>
        <w:t>Ocena kwalifikowalności wydatku polega na analizie zgodności jego poniesienia z obowiązującymi przepisami prawa, umową o dofinansowanie projektu i regulaminem</w:t>
      </w:r>
      <w:r w:rsidR="00994081" w:rsidRPr="00AC01C1">
        <w:rPr>
          <w:rFonts w:ascii="Trebuchet MS" w:hAnsi="Trebuchet MS"/>
        </w:rPr>
        <w:t xml:space="preserve"> konkursu</w:t>
      </w:r>
      <w:r w:rsidRPr="00AC01C1">
        <w:rPr>
          <w:rFonts w:ascii="Trebuchet MS" w:hAnsi="Trebuchet MS"/>
        </w:rPr>
        <w:t>, w tym w szczególności z niniejszym załącznikiem nr 5 do regulaminu,  oraz innymi dokumentami, do których stosowania beneficjent zobowiązał się w umowie o dofinansowanie projektu</w:t>
      </w:r>
      <w:r w:rsidR="004552C6" w:rsidRPr="00AC01C1">
        <w:rPr>
          <w:rFonts w:ascii="Trebuchet MS" w:hAnsi="Trebuchet MS"/>
        </w:rPr>
        <w:t>, w tym z wnioskiem o dofinansowanie</w:t>
      </w:r>
      <w:r w:rsidRPr="00AC01C1">
        <w:rPr>
          <w:rFonts w:ascii="Trebuchet MS" w:hAnsi="Trebuchet MS"/>
        </w:rPr>
        <w:t xml:space="preserve">. </w:t>
      </w:r>
    </w:p>
    <w:p w14:paraId="2B95DFCA" w14:textId="77777777" w:rsidR="00FD5BB2" w:rsidRPr="00AC01C1" w:rsidRDefault="00FD5BB2" w:rsidP="00242ACB">
      <w:pPr>
        <w:pStyle w:val="Akapitzlist"/>
        <w:numPr>
          <w:ilvl w:val="0"/>
          <w:numId w:val="3"/>
        </w:numPr>
        <w:spacing w:after="100" w:line="276" w:lineRule="auto"/>
        <w:contextualSpacing w:val="0"/>
        <w:jc w:val="both"/>
        <w:rPr>
          <w:rFonts w:ascii="Trebuchet MS" w:hAnsi="Trebuchet MS"/>
        </w:rPr>
      </w:pPr>
      <w:r w:rsidRPr="00AC01C1">
        <w:rPr>
          <w:rFonts w:ascii="Trebuchet MS" w:hAnsi="Trebuchet MS"/>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w:t>
      </w:r>
      <w:r w:rsidRPr="00AC01C1">
        <w:rPr>
          <w:rFonts w:ascii="Trebuchet MS" w:hAnsi="Trebuchet MS"/>
        </w:rPr>
        <w:lastRenderedPageBreak/>
        <w:t>beneficjenta. Punktem wyjścia dla weryfikacji kwalifikowalności wydatków na etapie realizacji projektu jest wniosek o dofinansowanie projektu. Na etapie oceny wniosku o dofinansowanie projektu dokonywana jest ocena kwalifikowalności planowanych wydatków. Przyjęcie danego projektu do realizacji i podpisanie z beneficjentem umowy o dofinansowanie projektu nie oznacza, że wszystkie wydatki, które beneficjent przedstawi we wniosku o płatność w trakcie realizacji projektu, zostaną poświadczone, zrefundowane. Ocena kwalifikowalności poniesionych wydatków jest prowadzona także po zakończeniu realizacji projektu w zakresie obowiązków nałożonych na beneficjenta umową o dofinansowanie projektu oraz wynikających z przepisów prawa.</w:t>
      </w:r>
    </w:p>
    <w:p w14:paraId="2FB70D2B" w14:textId="77777777" w:rsidR="00FD5BB2" w:rsidRPr="00AC01C1" w:rsidRDefault="00FD5BB2" w:rsidP="00242ACB">
      <w:pPr>
        <w:pStyle w:val="Akapitzlist"/>
        <w:numPr>
          <w:ilvl w:val="0"/>
          <w:numId w:val="3"/>
        </w:numPr>
        <w:spacing w:after="100" w:line="276" w:lineRule="auto"/>
        <w:contextualSpacing w:val="0"/>
        <w:jc w:val="both"/>
        <w:rPr>
          <w:rFonts w:ascii="Trebuchet MS" w:hAnsi="Trebuchet MS"/>
        </w:rPr>
      </w:pPr>
      <w:r w:rsidRPr="00AC01C1">
        <w:rPr>
          <w:rFonts w:ascii="Trebuchet MS" w:hAnsi="Trebuchet MS"/>
        </w:rPr>
        <w:t xml:space="preserve">Wydatkiem kwalifikowalnym jest wydatek spełniający łącznie następujące warunki: </w:t>
      </w:r>
    </w:p>
    <w:p w14:paraId="1C810639" w14:textId="77777777" w:rsidR="00FD5BB2" w:rsidRPr="00AC01C1" w:rsidRDefault="00FD5BB2" w:rsidP="00D907EB">
      <w:pPr>
        <w:pStyle w:val="Akapitzlist"/>
        <w:spacing w:after="100" w:line="276" w:lineRule="auto"/>
        <w:ind w:left="426"/>
        <w:contextualSpacing w:val="0"/>
        <w:jc w:val="both"/>
        <w:rPr>
          <w:rFonts w:ascii="Trebuchet MS" w:hAnsi="Trebuchet MS"/>
        </w:rPr>
      </w:pPr>
      <w:r w:rsidRPr="00AC01C1">
        <w:rPr>
          <w:rFonts w:ascii="Trebuchet MS" w:hAnsi="Trebuchet MS"/>
        </w:rPr>
        <w:t xml:space="preserve">a) został faktycznie poniesiony w okresie wskazanym w umowie o dofinansowanie projektu, </w:t>
      </w:r>
    </w:p>
    <w:p w14:paraId="1CD88181" w14:textId="77777777" w:rsidR="00FD5BB2" w:rsidRPr="00AC01C1" w:rsidRDefault="00FD5BB2" w:rsidP="00D907EB">
      <w:pPr>
        <w:pStyle w:val="Akapitzlist"/>
        <w:spacing w:after="100" w:line="276" w:lineRule="auto"/>
        <w:ind w:left="426"/>
        <w:contextualSpacing w:val="0"/>
        <w:jc w:val="both"/>
        <w:rPr>
          <w:rFonts w:ascii="Trebuchet MS" w:hAnsi="Trebuchet MS"/>
        </w:rPr>
      </w:pPr>
      <w:r w:rsidRPr="00AC01C1">
        <w:rPr>
          <w:rFonts w:ascii="Trebuchet MS" w:hAnsi="Trebuchet MS"/>
        </w:rPr>
        <w:t xml:space="preserve">b) jest zgodny z obowiązującymi przepisami prawa unijnego oraz prawa krajowego, w tym przepisami regulującymi udzielanie pomocy publicznej, </w:t>
      </w:r>
    </w:p>
    <w:p w14:paraId="38ECE3F4" w14:textId="77777777" w:rsidR="00FD5BB2" w:rsidRPr="00AC01C1" w:rsidRDefault="00FD5BB2" w:rsidP="00D907EB">
      <w:pPr>
        <w:pStyle w:val="Akapitzlist"/>
        <w:spacing w:after="100" w:line="276" w:lineRule="auto"/>
        <w:ind w:left="426"/>
        <w:contextualSpacing w:val="0"/>
        <w:jc w:val="both"/>
        <w:rPr>
          <w:rFonts w:ascii="Trebuchet MS" w:hAnsi="Trebuchet MS"/>
        </w:rPr>
      </w:pPr>
      <w:r w:rsidRPr="00AC01C1">
        <w:rPr>
          <w:rFonts w:ascii="Trebuchet MS" w:hAnsi="Trebuchet MS"/>
        </w:rPr>
        <w:t xml:space="preserve">c) został uwzględniony w budżecie projektu w zakresie rzeczowym projektu zawartym we wniosku o dofinansowanie projektu, </w:t>
      </w:r>
    </w:p>
    <w:p w14:paraId="72F1DEAB" w14:textId="77777777" w:rsidR="00FD5BB2" w:rsidRPr="00AC01C1" w:rsidRDefault="00FD5BB2" w:rsidP="00D907EB">
      <w:pPr>
        <w:pStyle w:val="Akapitzlist"/>
        <w:spacing w:after="100" w:line="276" w:lineRule="auto"/>
        <w:ind w:left="426"/>
        <w:contextualSpacing w:val="0"/>
        <w:jc w:val="both"/>
        <w:rPr>
          <w:rFonts w:ascii="Trebuchet MS" w:hAnsi="Trebuchet MS"/>
        </w:rPr>
      </w:pPr>
      <w:r w:rsidRPr="00AC01C1">
        <w:rPr>
          <w:rFonts w:ascii="Trebuchet MS" w:hAnsi="Trebuchet MS"/>
        </w:rPr>
        <w:t xml:space="preserve">d) został poniesiony zgodnie z postanowieniami umowy o dofinansowanie projektu, </w:t>
      </w:r>
    </w:p>
    <w:p w14:paraId="43F8322B" w14:textId="77777777" w:rsidR="00FD5BB2" w:rsidRPr="00AC01C1" w:rsidRDefault="00FD5BB2" w:rsidP="00D907EB">
      <w:pPr>
        <w:pStyle w:val="Akapitzlist"/>
        <w:spacing w:after="100" w:line="276" w:lineRule="auto"/>
        <w:ind w:left="426"/>
        <w:contextualSpacing w:val="0"/>
        <w:jc w:val="both"/>
        <w:rPr>
          <w:rFonts w:ascii="Trebuchet MS" w:hAnsi="Trebuchet MS"/>
        </w:rPr>
      </w:pPr>
      <w:r w:rsidRPr="00AC01C1">
        <w:rPr>
          <w:rFonts w:ascii="Trebuchet MS" w:hAnsi="Trebuchet MS"/>
        </w:rPr>
        <w:t xml:space="preserve">e) jest niezbędny do realizacji celów projektu i został poniesiony w związku z realizacją projektu, </w:t>
      </w:r>
    </w:p>
    <w:p w14:paraId="23A972C4" w14:textId="77777777" w:rsidR="00FD5BB2" w:rsidRPr="00AC01C1" w:rsidRDefault="00FD5BB2" w:rsidP="00D907EB">
      <w:pPr>
        <w:pStyle w:val="Akapitzlist"/>
        <w:spacing w:after="100" w:line="276" w:lineRule="auto"/>
        <w:ind w:left="426"/>
        <w:contextualSpacing w:val="0"/>
        <w:jc w:val="both"/>
        <w:rPr>
          <w:rFonts w:ascii="Trebuchet MS" w:hAnsi="Trebuchet MS"/>
        </w:rPr>
      </w:pPr>
      <w:r w:rsidRPr="00AC01C1">
        <w:rPr>
          <w:rFonts w:ascii="Trebuchet MS" w:hAnsi="Trebuchet MS"/>
        </w:rPr>
        <w:t xml:space="preserve">f) został dokonany w sposób przejrzysty, racjonalny i efektywny, z zachowaniem zasad uzyskiwania najlepszych efektów z danych nakładów, </w:t>
      </w:r>
    </w:p>
    <w:p w14:paraId="36A48632" w14:textId="77777777" w:rsidR="00FD5BB2" w:rsidRPr="00AC01C1" w:rsidRDefault="00FD5BB2" w:rsidP="00D907EB">
      <w:pPr>
        <w:pStyle w:val="Akapitzlist"/>
        <w:spacing w:after="100" w:line="276" w:lineRule="auto"/>
        <w:ind w:left="426"/>
        <w:contextualSpacing w:val="0"/>
        <w:jc w:val="both"/>
        <w:rPr>
          <w:rFonts w:ascii="Trebuchet MS" w:hAnsi="Trebuchet MS"/>
        </w:rPr>
      </w:pPr>
      <w:r w:rsidRPr="00AC01C1">
        <w:rPr>
          <w:rFonts w:ascii="Trebuchet MS" w:hAnsi="Trebuchet MS"/>
        </w:rPr>
        <w:t>g) został należycie udokumentowany, zgodnie z wymogami w tym zakresie określonymi w umowie o dofinansowanie i w niniejszym załączniku nr 5 do regulaminu,</w:t>
      </w:r>
    </w:p>
    <w:p w14:paraId="60BD0075" w14:textId="77777777" w:rsidR="00994081" w:rsidRPr="00AC01C1" w:rsidRDefault="00FD5BB2" w:rsidP="00D907EB">
      <w:pPr>
        <w:pStyle w:val="Akapitzlist"/>
        <w:spacing w:after="100" w:line="276" w:lineRule="auto"/>
        <w:ind w:left="426"/>
        <w:contextualSpacing w:val="0"/>
        <w:jc w:val="both"/>
        <w:rPr>
          <w:rFonts w:ascii="Trebuchet MS" w:hAnsi="Trebuchet MS"/>
        </w:rPr>
      </w:pPr>
      <w:r w:rsidRPr="00AC01C1">
        <w:rPr>
          <w:rFonts w:ascii="Trebuchet MS" w:hAnsi="Trebuchet MS"/>
        </w:rPr>
        <w:t xml:space="preserve">h) został wykazany we wniosku o płatność zgodnie </w:t>
      </w:r>
      <w:r w:rsidR="00994081" w:rsidRPr="00AC01C1">
        <w:rPr>
          <w:rFonts w:ascii="Trebuchet MS" w:hAnsi="Trebuchet MS"/>
        </w:rPr>
        <w:t>z wymogami w tym zakresie określonymi w umowie o dofinansowanie i w niniejszym załączniku nr 5 do regulaminu</w:t>
      </w:r>
      <w:r w:rsidRPr="00AC01C1">
        <w:rPr>
          <w:rFonts w:ascii="Trebuchet MS" w:hAnsi="Trebuchet MS"/>
        </w:rPr>
        <w:t xml:space="preserve">, </w:t>
      </w:r>
      <w:r w:rsidR="00994081" w:rsidRPr="00AC01C1">
        <w:rPr>
          <w:rFonts w:ascii="Trebuchet MS" w:hAnsi="Trebuchet MS"/>
        </w:rPr>
        <w:t>i</w:t>
      </w:r>
      <w:r w:rsidRPr="00AC01C1">
        <w:rPr>
          <w:rFonts w:ascii="Trebuchet MS" w:hAnsi="Trebuchet MS"/>
        </w:rPr>
        <w:t xml:space="preserve">) dotyczy towarów dostarczonych lub usług wykonanych lub robót zrealizowanych, </w:t>
      </w:r>
    </w:p>
    <w:p w14:paraId="4DC76F9B" w14:textId="77777777" w:rsidR="00FD5BB2" w:rsidRPr="00AC01C1" w:rsidRDefault="00994081" w:rsidP="00D907EB">
      <w:pPr>
        <w:pStyle w:val="Akapitzlist"/>
        <w:spacing w:after="100" w:line="276" w:lineRule="auto"/>
        <w:ind w:left="426"/>
        <w:contextualSpacing w:val="0"/>
        <w:jc w:val="both"/>
        <w:rPr>
          <w:rFonts w:ascii="Trebuchet MS" w:hAnsi="Trebuchet MS"/>
        </w:rPr>
      </w:pPr>
      <w:r w:rsidRPr="00AC01C1">
        <w:rPr>
          <w:rFonts w:ascii="Trebuchet MS" w:hAnsi="Trebuchet MS"/>
        </w:rPr>
        <w:t>j</w:t>
      </w:r>
      <w:r w:rsidR="00FD5BB2" w:rsidRPr="00AC01C1">
        <w:rPr>
          <w:rFonts w:ascii="Trebuchet MS" w:hAnsi="Trebuchet MS"/>
        </w:rPr>
        <w:t>) jest zgodny z innymi warunkami uznania go za wydatek kwalifikowalny określonymi w</w:t>
      </w:r>
      <w:r w:rsidRPr="00AC01C1">
        <w:rPr>
          <w:rFonts w:ascii="Trebuchet MS" w:hAnsi="Trebuchet MS"/>
        </w:rPr>
        <w:t xml:space="preserve"> regulaminie konkursu, w szczególności w niniejszym załączniku nr 5 do regulaminu</w:t>
      </w:r>
      <w:r w:rsidR="00FD5BB2" w:rsidRPr="00AC01C1">
        <w:rPr>
          <w:rFonts w:ascii="Trebuchet MS" w:hAnsi="Trebuchet MS"/>
        </w:rPr>
        <w:t>.</w:t>
      </w:r>
    </w:p>
    <w:p w14:paraId="771164BF" w14:textId="77777777" w:rsidR="00BF4EE7" w:rsidRPr="00AC01C1" w:rsidRDefault="00BF4EE7" w:rsidP="00242ACB">
      <w:pPr>
        <w:pStyle w:val="Akapitzlist"/>
        <w:numPr>
          <w:ilvl w:val="0"/>
          <w:numId w:val="8"/>
        </w:numPr>
        <w:spacing w:after="100" w:line="276" w:lineRule="auto"/>
        <w:ind w:left="426"/>
        <w:contextualSpacing w:val="0"/>
        <w:jc w:val="both"/>
        <w:rPr>
          <w:rFonts w:ascii="Trebuchet MS" w:hAnsi="Trebuchet MS"/>
        </w:rPr>
      </w:pPr>
      <w:r w:rsidRPr="00AC01C1">
        <w:rPr>
          <w:rFonts w:ascii="Trebuchet MS" w:hAnsi="Trebuchet MS"/>
        </w:rPr>
        <w:t xml:space="preserve">Niedozwolone jest podwójne finansowanie wydatków. Podwójne finansowanie oznacza w szczególności: a) całkowite lub częściowe, więcej niż jednokrotne poświadczenie, zrefundowanie lub rozliczenie tego samego wydatku w ramach dofinansowania lub wkładu własnego tego samego lub różnych projektów współfinansowanych ze środków publicznych, w tym krajowych, unijnych lub innych b) otrzymanie na wydatki kwalifikowalne danego projektu lub części projektu bezzwrotnej pomocy finansowej z kilku źródeł (krajowych, unijnych lub innych) w wysokości łącznie wyższej niż 100% wydatków kwalifikowalnych projektu lub części projektu, c) poświadczenie, zrefundowanie lub rozliczenie kosztów podatku VAT ze środków publicznych w ramach projektu, a następnie odzyskanie tego podatku ze środków budżetu państwa na podstawie ustawy o VAT, d) zakupienie środka trwałego z udziałem środków unijnych lub dotacji z krajowych środków publicznych, a następnie rozliczenie kosztów amortyzacji tego środka trwałego w ramach tego samego projektu lub innych współfinansowanych ze środków UE, e) zrefundowanie wydatku poniesionego przez leasingodawcę na zakup przedmiotu leasingu w ramach leasingu finansowego, a następnie zrefundowanie rat opłacanych przez beneficjenta w związku z leasingiem tego </w:t>
      </w:r>
      <w:r w:rsidRPr="00AC01C1">
        <w:rPr>
          <w:rFonts w:ascii="Trebuchet MS" w:hAnsi="Trebuchet MS"/>
        </w:rPr>
        <w:lastRenderedPageBreak/>
        <w:t>przedmiotu, f) objęcie kosztów kwalifikowalnych projektu jednocześnie wsparciem pożyczkowym i gwarancyjnym, g) zakup używanego środka trwałego, który w ciągu 7 poprzednich lat (10 lat dla nieruchomości) był współfinansowany ze środków UE lub/oraz dotacji z krajowych środków publicznych, h) rozliczenie tego samego wydatku w kosztach pośrednich oraz kosztach bezpośrednich projektu.</w:t>
      </w:r>
    </w:p>
    <w:p w14:paraId="7152F29D" w14:textId="77777777" w:rsidR="007B797E" w:rsidRPr="00AC01C1" w:rsidRDefault="007B797E" w:rsidP="00242ACB">
      <w:pPr>
        <w:pStyle w:val="Akapitzlist"/>
        <w:numPr>
          <w:ilvl w:val="0"/>
          <w:numId w:val="8"/>
        </w:numPr>
        <w:spacing w:after="100" w:line="276" w:lineRule="auto"/>
        <w:ind w:left="426"/>
        <w:contextualSpacing w:val="0"/>
        <w:jc w:val="both"/>
        <w:rPr>
          <w:rFonts w:ascii="Trebuchet MS" w:hAnsi="Trebuchet MS"/>
        </w:rPr>
      </w:pPr>
      <w:r w:rsidRPr="00AC01C1">
        <w:rPr>
          <w:rFonts w:ascii="Trebuchet MS" w:hAnsi="Trebuchet MS"/>
        </w:rPr>
        <w:t xml:space="preserve">Wydatki na środki trwałe oraz wartości niematerialne i prawne bezpośrednio powiązane z przedmiotem projektu mogą być uznane za kwalifikowalne pod warunkiem ich bezpośredniego wskazania we wniosku o dofinansowanie projektu wraz z uzasadnieniem konieczności ich zakupu. </w:t>
      </w:r>
      <w:r w:rsidR="004552C6" w:rsidRPr="00AC01C1">
        <w:rPr>
          <w:rFonts w:ascii="Trebuchet MS" w:hAnsi="Trebuchet MS"/>
        </w:rPr>
        <w:t xml:space="preserve">Uzasadnienie nie musi być sporządzane indywidualnie do każdego środka trwałego oraz wartości niematerialnej i prawnej, tzn. może dotyczyć grupy środków trwałych czy wartości niematerialnych i prawnych o tym samym przeznaczeniu. </w:t>
      </w:r>
      <w:r w:rsidRPr="00AC01C1">
        <w:rPr>
          <w:rFonts w:ascii="Trebuchet MS" w:hAnsi="Trebuchet MS"/>
        </w:rPr>
        <w:t>Wydatki poniesione na zakup środków trwałych oraz wartości niematerialnych i prawnych, a także koszty ich dostawy, montażu i uruchomienia, mogą być kwalifikowalne w całości lub części swojej wartości zgodnie ze wskazaniem beneficjenta opartym o ich faktyczne wykorzystanie na potrzeby projektu.</w:t>
      </w:r>
    </w:p>
    <w:p w14:paraId="16325B5C" w14:textId="77777777" w:rsidR="007B797E" w:rsidRPr="00AC01C1" w:rsidRDefault="007B797E" w:rsidP="00242ACB">
      <w:pPr>
        <w:pStyle w:val="Akapitzlist"/>
        <w:numPr>
          <w:ilvl w:val="0"/>
          <w:numId w:val="8"/>
        </w:numPr>
        <w:spacing w:after="100" w:line="276" w:lineRule="auto"/>
        <w:ind w:left="426"/>
        <w:contextualSpacing w:val="0"/>
        <w:jc w:val="both"/>
        <w:rPr>
          <w:rFonts w:ascii="Trebuchet MS" w:hAnsi="Trebuchet MS"/>
        </w:rPr>
      </w:pPr>
      <w:r w:rsidRPr="00AC01C1">
        <w:rPr>
          <w:rFonts w:ascii="Trebuchet MS" w:hAnsi="Trebuchet MS"/>
        </w:rPr>
        <w:t>Wydatki poniesione na zakup używanych środków trwałych oraz wartości niematerialnych i prawnych są kwalifikowalne, jeśli spełnione są wszystkie wymienione poniżej warunki: a) sprzedający środek trwały wystawił deklarację określającą jego pochodzenie, b) sprzedający środek trwały potwierdził w deklaracji, że dany środek nie był w okresie poprzednich 7 lat (10 lat w przypadku nieruchomości) współfinansowany z pomocy UE lub w ramach dotacji z krajowych środków publicznych, c) cena zakupu używanego środka trwałego nie przekracza jego wartości rynkowej i jest niższa niż koszt podobnego nowego sprzętu.</w:t>
      </w:r>
    </w:p>
    <w:p w14:paraId="24E7A8AC" w14:textId="77777777" w:rsidR="00A20F63" w:rsidRPr="00AC01C1" w:rsidRDefault="00A20F63" w:rsidP="00242ACB">
      <w:pPr>
        <w:pStyle w:val="Akapitzlist"/>
        <w:numPr>
          <w:ilvl w:val="0"/>
          <w:numId w:val="8"/>
        </w:numPr>
        <w:spacing w:after="100" w:line="276" w:lineRule="auto"/>
        <w:ind w:left="426"/>
        <w:contextualSpacing w:val="0"/>
        <w:jc w:val="both"/>
        <w:rPr>
          <w:rFonts w:ascii="Trebuchet MS" w:hAnsi="Trebuchet MS"/>
        </w:rPr>
      </w:pPr>
      <w:r w:rsidRPr="00AC01C1">
        <w:rPr>
          <w:rFonts w:ascii="Trebuchet MS" w:hAnsi="Trebuchet MS"/>
        </w:rPr>
        <w:t>Do współfinansowania kwalifikują się wydatki poniesione w związku z zastosowaniem technik finansowania, które nie powodują natychmiastowego przeniesienia prawa własności do danego dobra na beneficjenta (podmiot użytkujący), w tym w szczególności wydatki poniesione w związku z zastosowaniem leasingu oraz IRU.</w:t>
      </w:r>
    </w:p>
    <w:p w14:paraId="663E9690" w14:textId="77777777" w:rsidR="00A20F63" w:rsidRPr="00AC01C1" w:rsidRDefault="00A20F63" w:rsidP="00242ACB">
      <w:pPr>
        <w:pStyle w:val="Akapitzlist"/>
        <w:numPr>
          <w:ilvl w:val="0"/>
          <w:numId w:val="8"/>
        </w:numPr>
        <w:spacing w:after="100" w:line="276" w:lineRule="auto"/>
        <w:ind w:left="426"/>
        <w:contextualSpacing w:val="0"/>
        <w:jc w:val="both"/>
        <w:rPr>
          <w:rFonts w:ascii="Trebuchet MS" w:hAnsi="Trebuchet MS"/>
        </w:rPr>
      </w:pPr>
      <w:r w:rsidRPr="00AC01C1">
        <w:rPr>
          <w:rFonts w:ascii="Trebuchet MS" w:hAnsi="Trebuchet MS"/>
        </w:rPr>
        <w:t>W przypadku zastosowania w ramach projektu finansowania w drodze leasingu, wydatkiem kwalifikującym się do współfinansowania jest kwota przypadająca na część raty leasingowej wystawionej na rzecz beneficjenta, związanej ze spłatą kapitału przedmiotu umowy leasingu. Maksymalna kwota wydatków kwalifikowalnych nie może przekroczyć rynkowej wartości dobra będącego przedmiotem leasingu. W przypadku, gdy okres obowiązywania umowy leasingu przekracza końcową datę kwalifikowalności wydatków, wydatkami kwalifikującymi się do współfinansowania są wyłącznie raty leasingowe, których termin płatności przypada na okres ponoszenia wydatków kwalifikowalnych określonych w umowie o dofinansowanie projektu oraz faktycznie zapłacone w tym okresie.</w:t>
      </w:r>
    </w:p>
    <w:p w14:paraId="0A23087A" w14:textId="77777777" w:rsidR="00A20F63" w:rsidRPr="00AC01C1" w:rsidRDefault="00A20F63" w:rsidP="00242ACB">
      <w:pPr>
        <w:pStyle w:val="Akapitzlist"/>
        <w:numPr>
          <w:ilvl w:val="0"/>
          <w:numId w:val="8"/>
        </w:numPr>
        <w:spacing w:after="100" w:line="276" w:lineRule="auto"/>
        <w:ind w:left="426"/>
        <w:contextualSpacing w:val="0"/>
        <w:jc w:val="both"/>
        <w:rPr>
          <w:rFonts w:ascii="Trebuchet MS" w:hAnsi="Trebuchet MS"/>
        </w:rPr>
      </w:pPr>
      <w:r w:rsidRPr="00AC01C1">
        <w:rPr>
          <w:rFonts w:ascii="Trebuchet MS" w:hAnsi="Trebuchet MS"/>
        </w:rPr>
        <w:t>W przypadku umowy IRU wydatek kwalifikowalny stanowi wyłącznie płatność zasadnicza poniesiona w okresie kwalifikowalności wydatków w projekcie. Koszt utrzymania infrastruktury użytkowanej w drodze IRU w trakcie oraz po zakończeniu projektu ponoszony jest przez beneficjenta. Warunkiem umożliwiającym zastosowanie przedmiotowej techniki finansowania jest udowodnienie, iż jest ona najbardziej uzasadniona ekonomiczne (najkorzystniejsza z punktu widzenia celów projektu). W zależności od szczegółowych postanowień, umowę IRU można również kształtować jako specyficzną umowę leasingu.</w:t>
      </w:r>
    </w:p>
    <w:p w14:paraId="7D08F4F4" w14:textId="77777777" w:rsidR="00FD5BB2" w:rsidRPr="00AC01C1" w:rsidRDefault="00FD5BB2" w:rsidP="00D907EB">
      <w:pPr>
        <w:spacing w:after="100" w:line="276" w:lineRule="auto"/>
        <w:jc w:val="center"/>
        <w:rPr>
          <w:rFonts w:ascii="Trebuchet MS" w:hAnsi="Trebuchet MS"/>
          <w:b/>
          <w:bCs/>
        </w:rPr>
      </w:pPr>
      <w:r w:rsidRPr="00AC01C1">
        <w:rPr>
          <w:rFonts w:ascii="Trebuchet MS" w:hAnsi="Trebuchet MS"/>
          <w:b/>
          <w:bCs/>
        </w:rPr>
        <w:lastRenderedPageBreak/>
        <w:t>§ 5</w:t>
      </w:r>
    </w:p>
    <w:p w14:paraId="5BAA1D2A" w14:textId="77777777" w:rsidR="008D5BC5" w:rsidRPr="00AC01C1" w:rsidRDefault="00926DA7" w:rsidP="00242ACB">
      <w:pPr>
        <w:pStyle w:val="Akapitzlist"/>
        <w:numPr>
          <w:ilvl w:val="0"/>
          <w:numId w:val="20"/>
        </w:numPr>
        <w:spacing w:after="100" w:line="276" w:lineRule="auto"/>
        <w:ind w:left="425" w:hanging="357"/>
        <w:contextualSpacing w:val="0"/>
        <w:jc w:val="both"/>
        <w:rPr>
          <w:rFonts w:ascii="Trebuchet MS" w:hAnsi="Trebuchet MS"/>
        </w:rPr>
      </w:pPr>
      <w:r w:rsidRPr="00AC01C1">
        <w:rPr>
          <w:rFonts w:ascii="Trebuchet MS" w:hAnsi="Trebuchet MS"/>
        </w:rPr>
        <w:t>Ponoszone wydatki mogą stanowić wydatek kwalifikowalny w ramach projektu, o ile mieszczą się w wykazach wydatków kwalifikowalnych zamieszczonych w § 1.</w:t>
      </w:r>
      <w:r w:rsidR="00C76614" w:rsidRPr="00AC01C1">
        <w:rPr>
          <w:rFonts w:ascii="Trebuchet MS" w:hAnsi="Trebuchet MS"/>
        </w:rPr>
        <w:t xml:space="preserve"> </w:t>
      </w:r>
    </w:p>
    <w:p w14:paraId="282DBD16" w14:textId="77777777" w:rsidR="00D16786" w:rsidRPr="00AC01C1" w:rsidRDefault="008D5BC5" w:rsidP="00242ACB">
      <w:pPr>
        <w:pStyle w:val="Akapitzlist"/>
        <w:numPr>
          <w:ilvl w:val="0"/>
          <w:numId w:val="20"/>
        </w:numPr>
        <w:spacing w:after="100" w:line="276" w:lineRule="auto"/>
        <w:ind w:left="425" w:hanging="357"/>
        <w:contextualSpacing w:val="0"/>
        <w:jc w:val="both"/>
        <w:rPr>
          <w:rFonts w:ascii="Trebuchet MS" w:hAnsi="Trebuchet MS"/>
        </w:rPr>
      </w:pPr>
      <w:r w:rsidRPr="00AC01C1">
        <w:rPr>
          <w:rFonts w:ascii="Trebuchet MS" w:hAnsi="Trebuchet MS"/>
        </w:rPr>
        <w:t xml:space="preserve">Podmiotem ponoszącym wydatki kwalifikowalne jest wyłącznie </w:t>
      </w:r>
      <w:r w:rsidR="009A0BD8" w:rsidRPr="00AC01C1">
        <w:rPr>
          <w:rFonts w:ascii="Trebuchet MS" w:hAnsi="Trebuchet MS"/>
        </w:rPr>
        <w:t>B</w:t>
      </w:r>
      <w:r w:rsidRPr="00AC01C1">
        <w:rPr>
          <w:rFonts w:ascii="Trebuchet MS" w:hAnsi="Trebuchet MS"/>
        </w:rPr>
        <w:t xml:space="preserve">eneficjent. Beneficjent jako strona umowy o dofinansowanie: a) zawsze pozostaje odpowiedzialny za prawidłowość rzeczowej i finansowej realizacji projektu i odpowiada przed Gminą, z którą podpisał umowę o dofinansowanie, za prawidłowość całości wydatków kwalifikowalnych ponoszonych w ramach projektu, b) zawsze pozostaje odpowiedzialny za zapewnienie trwałości projektu, zgodnie z postanowieniami regulaminu </w:t>
      </w:r>
      <w:r w:rsidR="00994081" w:rsidRPr="00AC01C1">
        <w:rPr>
          <w:rFonts w:ascii="Trebuchet MS" w:hAnsi="Trebuchet MS"/>
        </w:rPr>
        <w:t xml:space="preserve">konkursu </w:t>
      </w:r>
      <w:r w:rsidRPr="00AC01C1">
        <w:rPr>
          <w:rFonts w:ascii="Trebuchet MS" w:hAnsi="Trebuchet MS"/>
        </w:rPr>
        <w:t>i umowy o dofinansowanie, c) zawsze pozostaje jedynym podmiotem właściwym do kontaktów z Gminą</w:t>
      </w:r>
      <w:r w:rsidR="001D343C" w:rsidRPr="00AC01C1">
        <w:rPr>
          <w:rFonts w:ascii="Trebuchet MS" w:hAnsi="Trebuchet MS"/>
        </w:rPr>
        <w:t xml:space="preserve"> w zakresie spraw dotyczących projektu</w:t>
      </w:r>
      <w:r w:rsidRPr="00AC01C1">
        <w:rPr>
          <w:rFonts w:ascii="Trebuchet MS" w:hAnsi="Trebuchet MS"/>
        </w:rPr>
        <w:t xml:space="preserve">, do przedstawiania wniosków o płatność oraz do otrzymywania dofinansowania ze środków przeznaczonych na </w:t>
      </w:r>
      <w:r w:rsidR="001D343C" w:rsidRPr="00AC01C1">
        <w:rPr>
          <w:rFonts w:ascii="Trebuchet MS" w:hAnsi="Trebuchet MS"/>
        </w:rPr>
        <w:t>dofinansowanie</w:t>
      </w:r>
      <w:r w:rsidRPr="00AC01C1">
        <w:rPr>
          <w:rFonts w:ascii="Trebuchet MS" w:hAnsi="Trebuchet MS"/>
        </w:rPr>
        <w:t xml:space="preserve"> </w:t>
      </w:r>
      <w:r w:rsidR="001D343C" w:rsidRPr="00AC01C1">
        <w:rPr>
          <w:rFonts w:ascii="Trebuchet MS" w:hAnsi="Trebuchet MS"/>
        </w:rPr>
        <w:t>projektu</w:t>
      </w:r>
      <w:r w:rsidRPr="00AC01C1">
        <w:rPr>
          <w:rFonts w:ascii="Trebuchet MS" w:hAnsi="Trebuchet MS"/>
        </w:rPr>
        <w:t>.</w:t>
      </w:r>
    </w:p>
    <w:p w14:paraId="7DBBACE3" w14:textId="77777777" w:rsidR="00926DA7" w:rsidRPr="00AC01C1" w:rsidRDefault="00926DA7" w:rsidP="00242ACB">
      <w:pPr>
        <w:pStyle w:val="Akapitzlist"/>
        <w:numPr>
          <w:ilvl w:val="0"/>
          <w:numId w:val="20"/>
        </w:numPr>
        <w:spacing w:after="100" w:line="276" w:lineRule="auto"/>
        <w:ind w:left="425" w:hanging="357"/>
        <w:contextualSpacing w:val="0"/>
        <w:jc w:val="both"/>
        <w:rPr>
          <w:rFonts w:ascii="Trebuchet MS" w:hAnsi="Trebuchet MS"/>
        </w:rPr>
      </w:pPr>
      <w:r w:rsidRPr="00AC01C1">
        <w:rPr>
          <w:rFonts w:ascii="Trebuchet MS" w:hAnsi="Trebuchet MS"/>
        </w:rPr>
        <w:t>Do finansowania nie kwalifikują się wszelkie wydatki niezgodne z niniejszym załącznikiem nr 5 do regulaminu</w:t>
      </w:r>
      <w:r w:rsidR="004552C6" w:rsidRPr="00AC01C1">
        <w:rPr>
          <w:rFonts w:ascii="Trebuchet MS" w:hAnsi="Trebuchet MS"/>
        </w:rPr>
        <w:t xml:space="preserve">, w szczególności </w:t>
      </w:r>
      <w:r w:rsidRPr="00AC01C1">
        <w:rPr>
          <w:rFonts w:ascii="Trebuchet MS" w:hAnsi="Trebuchet MS"/>
        </w:rPr>
        <w:t xml:space="preserve">wydatki wyłączone z kwalifikowalności </w:t>
      </w:r>
      <w:r w:rsidR="004552C6" w:rsidRPr="00AC01C1">
        <w:rPr>
          <w:rFonts w:ascii="Trebuchet MS" w:hAnsi="Trebuchet MS"/>
        </w:rPr>
        <w:t xml:space="preserve">w </w:t>
      </w:r>
      <w:r w:rsidRPr="00AC01C1">
        <w:rPr>
          <w:rFonts w:ascii="Trebuchet MS" w:hAnsi="Trebuchet MS"/>
        </w:rPr>
        <w:t xml:space="preserve">§ 3, </w:t>
      </w:r>
      <w:r w:rsidR="004552C6" w:rsidRPr="00AC01C1">
        <w:rPr>
          <w:rFonts w:ascii="Trebuchet MS" w:hAnsi="Trebuchet MS"/>
        </w:rPr>
        <w:t>a także niezgodne z</w:t>
      </w:r>
      <w:r w:rsidRPr="00AC01C1">
        <w:rPr>
          <w:rFonts w:ascii="Trebuchet MS" w:hAnsi="Trebuchet MS"/>
        </w:rPr>
        <w:t xml:space="preserve"> regulamin</w:t>
      </w:r>
      <w:r w:rsidR="004552C6" w:rsidRPr="00AC01C1">
        <w:rPr>
          <w:rFonts w:ascii="Trebuchet MS" w:hAnsi="Trebuchet MS"/>
        </w:rPr>
        <w:t>em</w:t>
      </w:r>
      <w:r w:rsidRPr="00AC01C1">
        <w:rPr>
          <w:rFonts w:ascii="Trebuchet MS" w:hAnsi="Trebuchet MS"/>
        </w:rPr>
        <w:t xml:space="preserve"> </w:t>
      </w:r>
      <w:r w:rsidR="00994081" w:rsidRPr="00AC01C1">
        <w:rPr>
          <w:rFonts w:ascii="Trebuchet MS" w:hAnsi="Trebuchet MS"/>
        </w:rPr>
        <w:t xml:space="preserve">konkursu </w:t>
      </w:r>
      <w:r w:rsidRPr="00AC01C1">
        <w:rPr>
          <w:rFonts w:ascii="Trebuchet MS" w:hAnsi="Trebuchet MS"/>
        </w:rPr>
        <w:t>lub umow</w:t>
      </w:r>
      <w:r w:rsidR="004552C6" w:rsidRPr="00AC01C1">
        <w:rPr>
          <w:rFonts w:ascii="Trebuchet MS" w:hAnsi="Trebuchet MS"/>
        </w:rPr>
        <w:t>ą</w:t>
      </w:r>
      <w:r w:rsidRPr="00AC01C1">
        <w:rPr>
          <w:rFonts w:ascii="Trebuchet MS" w:hAnsi="Trebuchet MS"/>
        </w:rPr>
        <w:t xml:space="preserve"> o dofinansowanie.</w:t>
      </w:r>
    </w:p>
    <w:p w14:paraId="23E46DA3" w14:textId="77777777" w:rsidR="00EE1207" w:rsidRPr="00AC01C1" w:rsidRDefault="00EE1207" w:rsidP="00242ACB">
      <w:pPr>
        <w:pStyle w:val="Akapitzlist"/>
        <w:numPr>
          <w:ilvl w:val="0"/>
          <w:numId w:val="20"/>
        </w:numPr>
        <w:spacing w:after="100" w:line="276" w:lineRule="auto"/>
        <w:ind w:left="425" w:hanging="357"/>
        <w:contextualSpacing w:val="0"/>
        <w:jc w:val="both"/>
        <w:rPr>
          <w:rFonts w:ascii="Trebuchet MS" w:hAnsi="Trebuchet MS"/>
        </w:rPr>
      </w:pPr>
      <w:r w:rsidRPr="00AC01C1">
        <w:rPr>
          <w:rFonts w:ascii="Trebuchet MS" w:hAnsi="Trebuchet MS"/>
        </w:rPr>
        <w:t xml:space="preserve">Do finansowania kwalifikuje się wydatek, który został faktycznie poniesiony przez </w:t>
      </w:r>
      <w:r w:rsidR="009A0BD8" w:rsidRPr="00AC01C1">
        <w:rPr>
          <w:rFonts w:ascii="Trebuchet MS" w:hAnsi="Trebuchet MS"/>
        </w:rPr>
        <w:t>B</w:t>
      </w:r>
      <w:r w:rsidRPr="00AC01C1">
        <w:rPr>
          <w:rFonts w:ascii="Trebuchet MS" w:hAnsi="Trebuchet MS"/>
        </w:rPr>
        <w:t>eneficjenta. Pod pojęciem wydatku faktycznie poniesionego należy rozumieć wydatek poniesiony w znaczeniu kasowym, tj. jako rozchód środków pieniężnych z kasy lub rachunku płatniczego (obciążenie rachunku płatniczego beneficjenta kwotą transakcji). Wyjąt</w:t>
      </w:r>
      <w:r w:rsidR="009A0BD8" w:rsidRPr="00AC01C1">
        <w:rPr>
          <w:rFonts w:ascii="Trebuchet MS" w:hAnsi="Trebuchet MS"/>
        </w:rPr>
        <w:t>ek</w:t>
      </w:r>
      <w:r w:rsidRPr="00AC01C1">
        <w:rPr>
          <w:rFonts w:ascii="Trebuchet MS" w:hAnsi="Trebuchet MS"/>
        </w:rPr>
        <w:t xml:space="preserve"> od powyższej reguły stanowi potrąceni</w:t>
      </w:r>
      <w:r w:rsidR="009A0BD8" w:rsidRPr="00AC01C1">
        <w:rPr>
          <w:rFonts w:ascii="Trebuchet MS" w:hAnsi="Trebuchet MS"/>
        </w:rPr>
        <w:t>e</w:t>
      </w:r>
      <w:r w:rsidRPr="00AC01C1">
        <w:rPr>
          <w:rFonts w:ascii="Trebuchet MS" w:hAnsi="Trebuchet MS"/>
        </w:rPr>
        <w:t xml:space="preserve"> występujące, gdy dwie strony są jednocześnie względem siebie dłużnikami i wierzycielami</w:t>
      </w:r>
      <w:r w:rsidR="00B35714" w:rsidRPr="00AC01C1">
        <w:rPr>
          <w:rFonts w:ascii="Trebuchet MS" w:hAnsi="Trebuchet MS"/>
        </w:rPr>
        <w:t>, pod warunkiem, że potrącenie jest bezsporne i zostało dokonane w formie pisemnej umowy przez obie strony</w:t>
      </w:r>
      <w:r w:rsidR="009A0BD8" w:rsidRPr="00AC01C1">
        <w:rPr>
          <w:rFonts w:ascii="Trebuchet MS" w:hAnsi="Trebuchet MS"/>
        </w:rPr>
        <w:t>, tj. wzajemnych wierzycieli i dłużników</w:t>
      </w:r>
      <w:r w:rsidR="00DD483F" w:rsidRPr="00AC01C1">
        <w:rPr>
          <w:rFonts w:ascii="Trebuchet MS" w:hAnsi="Trebuchet MS"/>
        </w:rPr>
        <w:t>.</w:t>
      </w:r>
    </w:p>
    <w:p w14:paraId="0D4ED2B8" w14:textId="77777777" w:rsidR="00BA068B" w:rsidRPr="00AC01C1" w:rsidRDefault="00BA068B" w:rsidP="00242ACB">
      <w:pPr>
        <w:pStyle w:val="Akapitzlist"/>
        <w:numPr>
          <w:ilvl w:val="0"/>
          <w:numId w:val="20"/>
        </w:numPr>
        <w:spacing w:after="100" w:line="276" w:lineRule="auto"/>
        <w:ind w:left="425" w:hanging="357"/>
        <w:contextualSpacing w:val="0"/>
        <w:jc w:val="both"/>
        <w:rPr>
          <w:rFonts w:ascii="Trebuchet MS" w:hAnsi="Trebuchet MS"/>
        </w:rPr>
      </w:pPr>
      <w:r w:rsidRPr="00AC01C1">
        <w:rPr>
          <w:rFonts w:ascii="Trebuchet MS" w:hAnsi="Trebuchet MS"/>
        </w:rPr>
        <w:t xml:space="preserve">Wydatki kwalifikowalne muszą być oparte na prawnie wiążących umowach, porozumieniach lub innych dokumentach, zatem niezbędne jest posiadanie przez beneficjenta należytej dokumentacji będącej podstawą poniesienia wydatku. </w:t>
      </w:r>
    </w:p>
    <w:p w14:paraId="23F6A1C8" w14:textId="77777777" w:rsidR="00BA068B" w:rsidRPr="00AC01C1" w:rsidRDefault="00DD483F" w:rsidP="00242ACB">
      <w:pPr>
        <w:pStyle w:val="Akapitzlist"/>
        <w:numPr>
          <w:ilvl w:val="0"/>
          <w:numId w:val="20"/>
        </w:numPr>
        <w:spacing w:after="100" w:line="276" w:lineRule="auto"/>
        <w:ind w:left="425" w:hanging="357"/>
        <w:contextualSpacing w:val="0"/>
        <w:jc w:val="both"/>
        <w:rPr>
          <w:rFonts w:ascii="Trebuchet MS" w:hAnsi="Trebuchet MS"/>
        </w:rPr>
      </w:pPr>
      <w:r w:rsidRPr="00AC01C1">
        <w:rPr>
          <w:rFonts w:ascii="Trebuchet MS" w:hAnsi="Trebuchet MS"/>
        </w:rPr>
        <w:t xml:space="preserve">Dowodem poniesienia wydatku jest zapłacona faktura, inny dokument księgowy o równoważnej wartości dowodowej, wraz z odpowiednim dokumentem potwierdzającym dokonanie płatności </w:t>
      </w:r>
      <w:r w:rsidR="00B35714" w:rsidRPr="00AC01C1">
        <w:rPr>
          <w:rFonts w:ascii="Trebuchet MS" w:hAnsi="Trebuchet MS"/>
        </w:rPr>
        <w:t xml:space="preserve">lub </w:t>
      </w:r>
      <w:r w:rsidR="009A0BD8" w:rsidRPr="00AC01C1">
        <w:rPr>
          <w:rFonts w:ascii="Trebuchet MS" w:hAnsi="Trebuchet MS"/>
        </w:rPr>
        <w:t>dokumentem potwierdzającym umowne</w:t>
      </w:r>
      <w:r w:rsidR="00B35714" w:rsidRPr="00AC01C1">
        <w:rPr>
          <w:rFonts w:ascii="Trebuchet MS" w:hAnsi="Trebuchet MS"/>
        </w:rPr>
        <w:t xml:space="preserve"> potrącenie wierzytelności wzajemnych</w:t>
      </w:r>
      <w:r w:rsidRPr="00AC01C1">
        <w:rPr>
          <w:rFonts w:ascii="Trebuchet MS" w:hAnsi="Trebuchet MS"/>
        </w:rPr>
        <w:t xml:space="preserve">. </w:t>
      </w:r>
      <w:r w:rsidR="00BA068B" w:rsidRPr="00AC01C1">
        <w:rPr>
          <w:rFonts w:ascii="Trebuchet MS" w:hAnsi="Trebuchet MS"/>
        </w:rPr>
        <w:t xml:space="preserve">Wydatek faktycznie poniesiony przedkładany do rozliczenia powinien być poparty w szczególności: </w:t>
      </w:r>
    </w:p>
    <w:p w14:paraId="47A92D54" w14:textId="77777777" w:rsidR="00BA068B" w:rsidRPr="00AC01C1" w:rsidRDefault="00BA068B" w:rsidP="00242ACB">
      <w:pPr>
        <w:pStyle w:val="Akapitzlist"/>
        <w:numPr>
          <w:ilvl w:val="1"/>
          <w:numId w:val="21"/>
        </w:numPr>
        <w:spacing w:after="100" w:line="276" w:lineRule="auto"/>
        <w:ind w:left="426"/>
        <w:contextualSpacing w:val="0"/>
        <w:jc w:val="both"/>
        <w:rPr>
          <w:rFonts w:ascii="Trebuchet MS" w:hAnsi="Trebuchet MS"/>
        </w:rPr>
      </w:pPr>
      <w:r w:rsidRPr="00AC01C1">
        <w:rPr>
          <w:rFonts w:ascii="Trebuchet MS" w:hAnsi="Trebuchet MS"/>
        </w:rPr>
        <w:t>fakturą/rachunkiem z oznaczeniem zapłaty lub dokumentem księgowym o równoważnej wartości dowodowej,</w:t>
      </w:r>
    </w:p>
    <w:p w14:paraId="403CC7C8" w14:textId="4EFB9264" w:rsidR="00BA068B" w:rsidRPr="00AC01C1" w:rsidRDefault="00BA068B" w:rsidP="00242ACB">
      <w:pPr>
        <w:pStyle w:val="Akapitzlist"/>
        <w:numPr>
          <w:ilvl w:val="1"/>
          <w:numId w:val="21"/>
        </w:numPr>
        <w:spacing w:after="100" w:line="276" w:lineRule="auto"/>
        <w:ind w:left="426"/>
        <w:contextualSpacing w:val="0"/>
        <w:jc w:val="both"/>
        <w:rPr>
          <w:rFonts w:ascii="Trebuchet MS" w:hAnsi="Trebuchet MS"/>
        </w:rPr>
      </w:pPr>
      <w:r w:rsidRPr="00AC01C1">
        <w:rPr>
          <w:rFonts w:ascii="Trebuchet MS" w:hAnsi="Trebuchet MS"/>
        </w:rPr>
        <w:t xml:space="preserve">potwierdzeniem płatności na rzecz wykonawcy w postaci wyciągu z rachunku płatniczego lub tzw. historii rachunku lub potwierdzeniem dokonania (zrealizowania) przelewu lub dokumentami potwierdzającymi dokonanie płatności gotówką. Dowodem potwierdzającym poniesienie wydatku jest również wydrukowany wyciąg bankowy lub historia rachunku wygenerowana elektronicznie na podstawie art. 7 ustawy Prawo bankowe (t. j. Dz. U. z </w:t>
      </w:r>
      <w:r w:rsidR="00E6059A" w:rsidRPr="00E6059A">
        <w:rPr>
          <w:rFonts w:ascii="Trebuchet MS" w:hAnsi="Trebuchet MS"/>
        </w:rPr>
        <w:t xml:space="preserve">2022 r. poz. 2324 </w:t>
      </w:r>
      <w:r w:rsidRPr="00AC01C1">
        <w:rPr>
          <w:rFonts w:ascii="Trebuchet MS" w:hAnsi="Trebuchet MS"/>
        </w:rPr>
        <w:t xml:space="preserve">z </w:t>
      </w:r>
      <w:proofErr w:type="spellStart"/>
      <w:r w:rsidRPr="00AC01C1">
        <w:rPr>
          <w:rFonts w:ascii="Trebuchet MS" w:hAnsi="Trebuchet MS"/>
        </w:rPr>
        <w:t>późn</w:t>
      </w:r>
      <w:proofErr w:type="spellEnd"/>
      <w:r w:rsidRPr="00AC01C1">
        <w:rPr>
          <w:rFonts w:ascii="Trebuchet MS" w:hAnsi="Trebuchet MS"/>
        </w:rPr>
        <w:t xml:space="preserve">. zm.), która nie wymaga podpisu ani stempla. Warunkiem rozliczenia wydatku jest opłacenie faktury lub innego dokumentu księgowego o równoważnej wartości dowodowej w całości, tj. zarówno w części kwalifikowalnej jak i niekwalifikowalnej, </w:t>
      </w:r>
      <w:r w:rsidR="00B35714" w:rsidRPr="00AC01C1">
        <w:rPr>
          <w:rFonts w:ascii="Trebuchet MS" w:hAnsi="Trebuchet MS"/>
        </w:rPr>
        <w:t>a w przypadku potrąceni</w:t>
      </w:r>
      <w:r w:rsidR="009A0BD8" w:rsidRPr="00AC01C1">
        <w:rPr>
          <w:rFonts w:ascii="Trebuchet MS" w:hAnsi="Trebuchet MS"/>
        </w:rPr>
        <w:t>a</w:t>
      </w:r>
      <w:r w:rsidR="00B35714" w:rsidRPr="00AC01C1">
        <w:rPr>
          <w:rFonts w:ascii="Trebuchet MS" w:hAnsi="Trebuchet MS"/>
        </w:rPr>
        <w:t xml:space="preserve"> wymagane jest przedłożenie bezspornego umownego potrącenia wzajemnych wierzytelności przez obie strony,</w:t>
      </w:r>
    </w:p>
    <w:p w14:paraId="76C91C71" w14:textId="77777777" w:rsidR="00BA068B" w:rsidRPr="00AC01C1" w:rsidRDefault="00BA068B" w:rsidP="00242ACB">
      <w:pPr>
        <w:pStyle w:val="Akapitzlist"/>
        <w:numPr>
          <w:ilvl w:val="1"/>
          <w:numId w:val="21"/>
        </w:numPr>
        <w:spacing w:after="100" w:line="276" w:lineRule="auto"/>
        <w:ind w:left="426"/>
        <w:contextualSpacing w:val="0"/>
        <w:jc w:val="both"/>
        <w:rPr>
          <w:rFonts w:ascii="Trebuchet MS" w:hAnsi="Trebuchet MS"/>
        </w:rPr>
      </w:pPr>
      <w:r w:rsidRPr="00AC01C1">
        <w:rPr>
          <w:rFonts w:ascii="Trebuchet MS" w:hAnsi="Trebuchet MS"/>
        </w:rPr>
        <w:lastRenderedPageBreak/>
        <w:t xml:space="preserve">umową, porozumieniem lub innym dokumentem potwierdzającym wzajemne zobowiązanie stron związane z realizacją dostaw, usług lub robót budowlanych, </w:t>
      </w:r>
    </w:p>
    <w:p w14:paraId="1C55249F" w14:textId="77777777" w:rsidR="00BA068B" w:rsidRPr="00AC01C1" w:rsidRDefault="00BA068B" w:rsidP="00242ACB">
      <w:pPr>
        <w:pStyle w:val="Akapitzlist"/>
        <w:numPr>
          <w:ilvl w:val="1"/>
          <w:numId w:val="21"/>
        </w:numPr>
        <w:spacing w:after="100" w:line="276" w:lineRule="auto"/>
        <w:ind w:left="426"/>
        <w:contextualSpacing w:val="0"/>
        <w:jc w:val="both"/>
        <w:rPr>
          <w:rFonts w:ascii="Trebuchet MS" w:hAnsi="Trebuchet MS"/>
        </w:rPr>
      </w:pPr>
      <w:r w:rsidRPr="00AC01C1">
        <w:rPr>
          <w:rFonts w:ascii="Trebuchet MS" w:hAnsi="Trebuchet MS"/>
        </w:rPr>
        <w:t xml:space="preserve">kopiami protokołów odbioru dokumentujących wykonanie robót, dostaw, usług lub innych dokumentów potwierdzających spełnienie świadczenia pomiędzy stronami (w przypadku, gdy obowiązek protokolarnego odbioru nie wynika z umowy z wykonawcą oraz świadczenie dotyczy drobnych zakupów możliwe jest potwierdzenie jego spełnienia pomiędzy stronami poprzez właściwą adnotację zamawiającego na fakturze potwierdzającą odbiór towaru), </w:t>
      </w:r>
      <w:r w:rsidR="00F67A3A" w:rsidRPr="00AC01C1">
        <w:rPr>
          <w:rFonts w:ascii="Trebuchet MS" w:hAnsi="Trebuchet MS"/>
        </w:rPr>
        <w:t xml:space="preserve">przy czym wymagane jest podpisanie każdego protokołu dotyczącego robót budowlanych </w:t>
      </w:r>
      <w:r w:rsidR="009A0BD8" w:rsidRPr="00AC01C1">
        <w:rPr>
          <w:rFonts w:ascii="Trebuchet MS" w:hAnsi="Trebuchet MS"/>
        </w:rPr>
        <w:t>co najmniej przez Beneficjenta</w:t>
      </w:r>
      <w:r w:rsidR="00F67A3A" w:rsidRPr="00AC01C1">
        <w:rPr>
          <w:rFonts w:ascii="Trebuchet MS" w:hAnsi="Trebuchet MS"/>
        </w:rPr>
        <w:t xml:space="preserve"> i inspektora nadzoru inwestorskiego</w:t>
      </w:r>
      <w:r w:rsidR="003F3FAC">
        <w:rPr>
          <w:rFonts w:ascii="Trebuchet MS" w:hAnsi="Trebuchet MS"/>
        </w:rPr>
        <w:t xml:space="preserve"> o specjalności telekomunikacyjnej</w:t>
      </w:r>
      <w:r w:rsidR="00F67A3A" w:rsidRPr="00AC01C1">
        <w:rPr>
          <w:rFonts w:ascii="Trebuchet MS" w:hAnsi="Trebuchet MS"/>
        </w:rPr>
        <w:t>,</w:t>
      </w:r>
      <w:r w:rsidR="009A0BD8" w:rsidRPr="00AC01C1">
        <w:rPr>
          <w:rFonts w:ascii="Trebuchet MS" w:hAnsi="Trebuchet MS"/>
        </w:rPr>
        <w:t xml:space="preserve"> potwierdzających prawidłowe wykonanie robót budowlanych objętych danym protokołem odbioru wraz ze wskazaniem w</w:t>
      </w:r>
      <w:r w:rsidR="00AD467F" w:rsidRPr="00AC01C1">
        <w:rPr>
          <w:rFonts w:ascii="Trebuchet MS" w:hAnsi="Trebuchet MS"/>
        </w:rPr>
        <w:t>ynagrodzenia należnego za te roboty,</w:t>
      </w:r>
    </w:p>
    <w:p w14:paraId="096AAE1F" w14:textId="77777777" w:rsidR="00BA068B" w:rsidRPr="00AC01C1" w:rsidRDefault="00BA068B" w:rsidP="00242ACB">
      <w:pPr>
        <w:pStyle w:val="Akapitzlist"/>
        <w:numPr>
          <w:ilvl w:val="1"/>
          <w:numId w:val="21"/>
        </w:numPr>
        <w:spacing w:after="100" w:line="276" w:lineRule="auto"/>
        <w:ind w:left="426"/>
        <w:contextualSpacing w:val="0"/>
        <w:jc w:val="both"/>
        <w:rPr>
          <w:rFonts w:ascii="Trebuchet MS" w:hAnsi="Trebuchet MS"/>
        </w:rPr>
      </w:pPr>
      <w:r w:rsidRPr="00AC01C1">
        <w:rPr>
          <w:rFonts w:ascii="Trebuchet MS" w:hAnsi="Trebuchet MS"/>
        </w:rPr>
        <w:t>w przypadku środków trwałych i robót budowlanych, poza wskazanymi w lit. a) - d):</w:t>
      </w:r>
    </w:p>
    <w:p w14:paraId="5CA6A43E" w14:textId="77777777" w:rsidR="00BA068B" w:rsidRPr="00AC01C1" w:rsidRDefault="00BA068B" w:rsidP="00D907EB">
      <w:pPr>
        <w:pStyle w:val="Akapitzlist"/>
        <w:spacing w:after="100" w:line="276" w:lineRule="auto"/>
        <w:ind w:left="426"/>
        <w:contextualSpacing w:val="0"/>
        <w:jc w:val="both"/>
        <w:rPr>
          <w:rFonts w:ascii="Trebuchet MS" w:hAnsi="Trebuchet MS"/>
        </w:rPr>
      </w:pPr>
      <w:r w:rsidRPr="00AC01C1">
        <w:rPr>
          <w:rFonts w:ascii="Trebuchet MS" w:hAnsi="Trebuchet MS"/>
        </w:rPr>
        <w:t xml:space="preserve">i) dokumentem przyjęcia środka trwałego oraz wartości niematerialnych i prawnych (OT), (jeśli dotyczy), </w:t>
      </w:r>
    </w:p>
    <w:p w14:paraId="7FF7B536" w14:textId="77777777" w:rsidR="00BA068B" w:rsidRPr="00AC01C1" w:rsidRDefault="00BA068B" w:rsidP="00D907EB">
      <w:pPr>
        <w:pStyle w:val="Akapitzlist"/>
        <w:spacing w:after="100" w:line="276" w:lineRule="auto"/>
        <w:ind w:left="426"/>
        <w:contextualSpacing w:val="0"/>
        <w:jc w:val="both"/>
        <w:rPr>
          <w:rFonts w:ascii="Trebuchet MS" w:hAnsi="Trebuchet MS"/>
        </w:rPr>
      </w:pPr>
      <w:r w:rsidRPr="00AC01C1">
        <w:rPr>
          <w:rFonts w:ascii="Trebuchet MS" w:hAnsi="Trebuchet MS"/>
        </w:rPr>
        <w:t xml:space="preserve">ii) w przypadku zakupu nowego środka trwałego należy udokumentować fakt, że środek ten jest fabrycznie nowy. Warunek ten jest spełniony, gdy zastosowane zostanie jedno z poniższych rozwiązań: - umowa podpisana z dostawcą tego środka trwałego zawiera zapis jednoznacznie wskazujący, że nabywany środek trwały jest fabrycznie nowy, - do dokumentacji dołączono oświadczenie beneficjenta potwierdzające, że nabyty środek trwały jest fabrycznie nowy, </w:t>
      </w:r>
    </w:p>
    <w:p w14:paraId="5CEFDEE3" w14:textId="77777777" w:rsidR="00BA068B" w:rsidRPr="00AC01C1" w:rsidRDefault="00BA068B" w:rsidP="00D907EB">
      <w:pPr>
        <w:pStyle w:val="Akapitzlist"/>
        <w:spacing w:after="100" w:line="276" w:lineRule="auto"/>
        <w:ind w:left="426"/>
        <w:contextualSpacing w:val="0"/>
        <w:jc w:val="both"/>
        <w:rPr>
          <w:rFonts w:ascii="Trebuchet MS" w:hAnsi="Trebuchet MS"/>
        </w:rPr>
      </w:pPr>
      <w:r w:rsidRPr="00AC01C1">
        <w:rPr>
          <w:rFonts w:ascii="Trebuchet MS" w:hAnsi="Trebuchet MS"/>
        </w:rPr>
        <w:t>iii) w przypadku zakupu używanych środków trwałych:</w:t>
      </w:r>
    </w:p>
    <w:p w14:paraId="7946977B" w14:textId="77777777" w:rsidR="00BA068B" w:rsidRPr="00AC01C1" w:rsidRDefault="00BA068B" w:rsidP="00D907EB">
      <w:pPr>
        <w:pStyle w:val="Akapitzlist"/>
        <w:spacing w:after="100" w:line="276" w:lineRule="auto"/>
        <w:ind w:left="709"/>
        <w:contextualSpacing w:val="0"/>
        <w:jc w:val="both"/>
        <w:rPr>
          <w:rFonts w:ascii="Trebuchet MS" w:hAnsi="Trebuchet MS"/>
        </w:rPr>
      </w:pPr>
      <w:r w:rsidRPr="00AC01C1">
        <w:rPr>
          <w:rFonts w:ascii="Trebuchet MS" w:hAnsi="Trebuchet MS"/>
        </w:rPr>
        <w:t xml:space="preserve">- oświadczeniem podmiotu zbywającego, że w okresie 7 lat (w przypadku nieruchomości 10 lat) poprzedzających datę nabycia środka trwałego nie był on finansowany ze środków unijnych ani z krajowych środków pomocy publicznej lub pomocy de </w:t>
      </w:r>
      <w:proofErr w:type="spellStart"/>
      <w:r w:rsidRPr="00AC01C1">
        <w:rPr>
          <w:rFonts w:ascii="Trebuchet MS" w:hAnsi="Trebuchet MS"/>
        </w:rPr>
        <w:t>minimis</w:t>
      </w:r>
      <w:proofErr w:type="spellEnd"/>
      <w:r w:rsidRPr="00AC01C1">
        <w:rPr>
          <w:rFonts w:ascii="Trebuchet MS" w:hAnsi="Trebuchet MS"/>
        </w:rPr>
        <w:t xml:space="preserve">, </w:t>
      </w:r>
    </w:p>
    <w:p w14:paraId="242E54E7" w14:textId="77777777" w:rsidR="00BA068B" w:rsidRPr="00AC01C1" w:rsidRDefault="00BA068B" w:rsidP="00D907EB">
      <w:pPr>
        <w:pStyle w:val="Akapitzlist"/>
        <w:spacing w:after="100" w:line="276" w:lineRule="auto"/>
        <w:ind w:left="709"/>
        <w:contextualSpacing w:val="0"/>
        <w:jc w:val="both"/>
        <w:rPr>
          <w:rFonts w:ascii="Trebuchet MS" w:hAnsi="Trebuchet MS"/>
        </w:rPr>
      </w:pPr>
      <w:r w:rsidRPr="00AC01C1">
        <w:rPr>
          <w:rFonts w:ascii="Trebuchet MS" w:hAnsi="Trebuchet MS"/>
        </w:rPr>
        <w:t>- oświadczeniem beneficjenta, że cena używanego środka trwałego nie przekracza jego wartości rynkowej i jest niższa niż cena podobnego, nowego środka trwałego, - deklaracją sprzedającego określającą pochodzenie danego używanego środka trwałego</w:t>
      </w:r>
    </w:p>
    <w:p w14:paraId="207BE847" w14:textId="77777777" w:rsidR="00BA068B" w:rsidRPr="00AC01C1" w:rsidRDefault="00BA068B" w:rsidP="00242ACB">
      <w:pPr>
        <w:pStyle w:val="Akapitzlist"/>
        <w:numPr>
          <w:ilvl w:val="0"/>
          <w:numId w:val="22"/>
        </w:numPr>
        <w:spacing w:after="100" w:line="276" w:lineRule="auto"/>
        <w:ind w:left="426"/>
        <w:jc w:val="both"/>
        <w:rPr>
          <w:rFonts w:ascii="Trebuchet MS" w:hAnsi="Trebuchet MS"/>
        </w:rPr>
      </w:pPr>
      <w:r w:rsidRPr="00AC01C1">
        <w:rPr>
          <w:rFonts w:ascii="Trebuchet MS" w:hAnsi="Trebuchet MS"/>
        </w:rPr>
        <w:t xml:space="preserve">w przypadku </w:t>
      </w:r>
      <w:r w:rsidR="00D907EB" w:rsidRPr="00AC01C1">
        <w:rPr>
          <w:rFonts w:ascii="Trebuchet MS" w:hAnsi="Trebuchet MS"/>
        </w:rPr>
        <w:t xml:space="preserve">projektów, </w:t>
      </w:r>
      <w:r w:rsidRPr="00AC01C1">
        <w:rPr>
          <w:rFonts w:ascii="Trebuchet MS" w:hAnsi="Trebuchet MS"/>
        </w:rPr>
        <w:t xml:space="preserve">analiz, ekspertyz, badań, opracowań itp., poza dokumentami wskazanymi w lit. a) - d) beneficjent musi być w posiadaniu dokumentu będącego wynikiem zleconej usługi, jednakże decyzja o konieczności załączenia opracowania do wniosku o płatność podejmowana jest przez </w:t>
      </w:r>
      <w:r w:rsidR="00D907EB" w:rsidRPr="00AC01C1">
        <w:rPr>
          <w:rFonts w:ascii="Trebuchet MS" w:hAnsi="Trebuchet MS"/>
        </w:rPr>
        <w:t>Gminę</w:t>
      </w:r>
      <w:r w:rsidRPr="00AC01C1">
        <w:rPr>
          <w:rFonts w:ascii="Trebuchet MS" w:hAnsi="Trebuchet MS"/>
        </w:rPr>
        <w:t xml:space="preserve"> w indywidualnych przypadkach. W sytuacji gdy zajdzie konieczność załączenia dokumentów beneficjent zostanie o tym poinformowany, </w:t>
      </w:r>
    </w:p>
    <w:p w14:paraId="4C8AB4C6" w14:textId="77777777" w:rsidR="00BA068B" w:rsidRPr="00AC01C1" w:rsidRDefault="00BA068B" w:rsidP="00242ACB">
      <w:pPr>
        <w:pStyle w:val="Akapitzlist"/>
        <w:numPr>
          <w:ilvl w:val="0"/>
          <w:numId w:val="23"/>
        </w:numPr>
        <w:spacing w:after="100" w:line="276" w:lineRule="auto"/>
        <w:ind w:left="426"/>
        <w:jc w:val="both"/>
        <w:rPr>
          <w:rFonts w:ascii="Trebuchet MS" w:hAnsi="Trebuchet MS"/>
        </w:rPr>
      </w:pPr>
      <w:r w:rsidRPr="00AC01C1">
        <w:rPr>
          <w:rFonts w:ascii="Trebuchet MS" w:hAnsi="Trebuchet MS"/>
        </w:rPr>
        <w:t xml:space="preserve">w przypadku wydatków na zakup nieruchomości/gruntu, poza dokumentami wskazanymi w lit. a) - d): i) dokumentem księgowym, który określa wartość nieruchomości (np. akt notarialny) wraz z operatem szacunkowym, ważnym w okresie 12 miesięcy poprzedzających moment poniesienia wydatku, określającym wartość rynkową nieruchomości sporządzonym przez rzeczoznawcę majątkowego, zgodnie z przepisami ustawy z dnia 21 sierpnia 1997 r. o gospodarce nieruchomościami (t. j. Dz. U. z 2018 r. poz. 2204, z </w:t>
      </w:r>
      <w:proofErr w:type="spellStart"/>
      <w:r w:rsidRPr="00AC01C1">
        <w:rPr>
          <w:rFonts w:ascii="Trebuchet MS" w:hAnsi="Trebuchet MS"/>
        </w:rPr>
        <w:t>późn</w:t>
      </w:r>
      <w:proofErr w:type="spellEnd"/>
      <w:r w:rsidRPr="00AC01C1">
        <w:rPr>
          <w:rFonts w:ascii="Trebuchet MS" w:hAnsi="Trebuchet MS"/>
        </w:rPr>
        <w:t xml:space="preserve">. zm.). W przypadku, gdy dokument księgowy opiewa na wyższą wartość niż ww. operat szacunkowy, należy zadeklarować jako wydatek kwalifikowalny kwotę do wysokości określonej w tym operacie szacunkowym. W sytuacji, gdy dokument </w:t>
      </w:r>
      <w:r w:rsidRPr="00AC01C1">
        <w:rPr>
          <w:rFonts w:ascii="Trebuchet MS" w:hAnsi="Trebuchet MS"/>
        </w:rPr>
        <w:lastRenderedPageBreak/>
        <w:t xml:space="preserve">księgowy opiewa na niższą kwotę niż operat szacunkowy należy zadeklarować jako kwalifikowalną kwotę do wysokości określonej w dokumencie księgowym. </w:t>
      </w:r>
    </w:p>
    <w:p w14:paraId="0045E6A0" w14:textId="77777777" w:rsidR="00BA068B" w:rsidRPr="00AC01C1" w:rsidRDefault="00BA068B" w:rsidP="00242ACB">
      <w:pPr>
        <w:pStyle w:val="Akapitzlist"/>
        <w:numPr>
          <w:ilvl w:val="0"/>
          <w:numId w:val="20"/>
        </w:numPr>
        <w:spacing w:after="100" w:line="276" w:lineRule="auto"/>
        <w:jc w:val="both"/>
        <w:rPr>
          <w:rFonts w:ascii="Trebuchet MS" w:hAnsi="Trebuchet MS"/>
        </w:rPr>
      </w:pPr>
      <w:r w:rsidRPr="00AC01C1">
        <w:rPr>
          <w:rFonts w:ascii="Trebuchet MS" w:hAnsi="Trebuchet MS"/>
        </w:rPr>
        <w:t xml:space="preserve">Przez dokument o równoważnej wartości dowodowej należy rozumieć każdy dokument przedstawiony przez beneficjenta w celu potwierdzenia, że zapis księgowy podaje prawdziwy i rzetelny obraz transakcji faktycznie wykonanych, zgodnie z ustawą o rachunkowości. </w:t>
      </w:r>
    </w:p>
    <w:p w14:paraId="14AD41AC" w14:textId="77777777" w:rsidR="00D16786" w:rsidRPr="00AC01C1" w:rsidRDefault="00BA068B" w:rsidP="00242ACB">
      <w:pPr>
        <w:pStyle w:val="Akapitzlist"/>
        <w:numPr>
          <w:ilvl w:val="0"/>
          <w:numId w:val="20"/>
        </w:numPr>
        <w:spacing w:after="100" w:line="276" w:lineRule="auto"/>
        <w:jc w:val="both"/>
        <w:rPr>
          <w:rFonts w:ascii="Trebuchet MS" w:hAnsi="Trebuchet MS"/>
        </w:rPr>
      </w:pPr>
      <w:r w:rsidRPr="00AC01C1">
        <w:rPr>
          <w:rFonts w:ascii="Trebuchet MS" w:hAnsi="Trebuchet MS"/>
        </w:rPr>
        <w:t>Przez dokument potwierdzający dokonanie płatności gotówkowej należy rozumieć:</w:t>
      </w:r>
    </w:p>
    <w:p w14:paraId="55BD2A24" w14:textId="77777777" w:rsidR="00525D30" w:rsidRPr="00AC01C1" w:rsidRDefault="00BA068B" w:rsidP="00242ACB">
      <w:pPr>
        <w:pStyle w:val="Akapitzlist"/>
        <w:numPr>
          <w:ilvl w:val="1"/>
          <w:numId w:val="24"/>
        </w:numPr>
        <w:spacing w:after="100" w:line="276" w:lineRule="auto"/>
        <w:ind w:left="426"/>
        <w:jc w:val="both"/>
        <w:rPr>
          <w:rFonts w:ascii="Trebuchet MS" w:hAnsi="Trebuchet MS"/>
        </w:rPr>
      </w:pPr>
      <w:r w:rsidRPr="00AC01C1">
        <w:rPr>
          <w:rFonts w:ascii="Trebuchet MS" w:hAnsi="Trebuchet MS"/>
        </w:rPr>
        <w:t xml:space="preserve">fakturę lub dokument księgowy o równoważnej wartości dowodowej z oznaczeniem, iż zapłacono gotówką lub </w:t>
      </w:r>
    </w:p>
    <w:p w14:paraId="55069A4C" w14:textId="77777777" w:rsidR="00BA068B" w:rsidRPr="00AC01C1" w:rsidRDefault="00BA068B" w:rsidP="00242ACB">
      <w:pPr>
        <w:pStyle w:val="Akapitzlist"/>
        <w:numPr>
          <w:ilvl w:val="1"/>
          <w:numId w:val="24"/>
        </w:numPr>
        <w:spacing w:after="100" w:line="276" w:lineRule="auto"/>
        <w:ind w:left="426"/>
        <w:jc w:val="both"/>
        <w:rPr>
          <w:rFonts w:ascii="Trebuchet MS" w:hAnsi="Trebuchet MS"/>
        </w:rPr>
      </w:pPr>
      <w:r w:rsidRPr="00AC01C1">
        <w:rPr>
          <w:rFonts w:ascii="Trebuchet MS" w:hAnsi="Trebuchet MS"/>
        </w:rPr>
        <w:t xml:space="preserve">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 </w:t>
      </w:r>
    </w:p>
    <w:p w14:paraId="795A4540" w14:textId="77777777" w:rsidR="00B60ABC" w:rsidRPr="00AC01C1" w:rsidRDefault="00B60ABC" w:rsidP="00242ACB">
      <w:pPr>
        <w:pStyle w:val="Akapitzlist"/>
        <w:numPr>
          <w:ilvl w:val="0"/>
          <w:numId w:val="20"/>
        </w:numPr>
        <w:spacing w:after="100" w:line="276" w:lineRule="auto"/>
        <w:jc w:val="both"/>
        <w:rPr>
          <w:rFonts w:ascii="Trebuchet MS" w:hAnsi="Trebuchet MS"/>
        </w:rPr>
      </w:pPr>
      <w:r w:rsidRPr="00AC01C1">
        <w:rPr>
          <w:rFonts w:ascii="Trebuchet MS" w:hAnsi="Trebuchet MS"/>
        </w:rPr>
        <w:t xml:space="preserve">Dokumenty potwierdzające poniesione wydatki powinny być opisane w taki sposób, aby widoczny był związek danego wydatku z realizowanym projektem oraz powinny odnosić się do konkretnego zadania/podzadania wynikającego z wniosku o dofinansowanie. Oryginał dowodu księgowego powinien być również podpisany przez osobę akceptującą dokument oraz zawierać dekretację (lub trwałe dołączenie wydruku dekretu do dokumentu), numer księgowy. Na oryginale dokumentu należy zawrzeć, numer umowy o dofinansowanie, informację o współfinansowaniu z </w:t>
      </w:r>
      <w:r w:rsidR="00D907EB" w:rsidRPr="00AC01C1">
        <w:rPr>
          <w:rFonts w:ascii="Trebuchet MS" w:hAnsi="Trebuchet MS"/>
        </w:rPr>
        <w:t>budżetu Gminy</w:t>
      </w:r>
      <w:r w:rsidR="00AD467F" w:rsidRPr="00AC01C1">
        <w:rPr>
          <w:rFonts w:ascii="Trebuchet MS" w:hAnsi="Trebuchet MS"/>
        </w:rPr>
        <w:t>, w tym ze środków pochodzących</w:t>
      </w:r>
      <w:r w:rsidR="00D907EB" w:rsidRPr="00AC01C1">
        <w:rPr>
          <w:rFonts w:ascii="Trebuchet MS" w:hAnsi="Trebuchet MS"/>
        </w:rPr>
        <w:t xml:space="preserve"> z Funduszu Szerokopasmowego</w:t>
      </w:r>
      <w:r w:rsidRPr="00AC01C1">
        <w:rPr>
          <w:rFonts w:ascii="Trebuchet MS" w:hAnsi="Trebuchet MS"/>
        </w:rPr>
        <w:t xml:space="preserve"> oraz kwotę wydatków kwalifikowalnych w ramach projektu</w:t>
      </w:r>
      <w:r w:rsidR="00AC01C1" w:rsidRPr="00AC01C1">
        <w:rPr>
          <w:rFonts w:ascii="Trebuchet MS" w:hAnsi="Trebuchet MS"/>
        </w:rPr>
        <w:t>, a ponadto należy sporządzić opis zgodnie z wymaganiami określonymi w Umowie</w:t>
      </w:r>
      <w:r w:rsidRPr="00AC01C1">
        <w:rPr>
          <w:rFonts w:ascii="Trebuchet MS" w:hAnsi="Trebuchet MS"/>
        </w:rPr>
        <w:t xml:space="preserve">. W przypadku dokumentowania wydatków za pomocą faktury elektronicznej należy przedstawić wydruk (wizualizację) dokumentu księgowego, co jest równoważne kopii tradycyjnego dokumentu księgowego. Beneficjent dokonuje ww. opisu na wydruku (wizualizacji) faktury elektronicznej.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 (w tym nr zadania i nazwa kategorii), w której wydatek jest ujęty. W przypadku opisu w formie załącznika należy na oryginale dokumentu księgowego umieścić informację, że dokument posiada załącznik - opis merytoryczny. </w:t>
      </w:r>
    </w:p>
    <w:p w14:paraId="171F9AD1" w14:textId="77777777" w:rsidR="00DD483F" w:rsidRPr="00AC01C1" w:rsidRDefault="00DD483F" w:rsidP="00242ACB">
      <w:pPr>
        <w:pStyle w:val="Akapitzlist"/>
        <w:numPr>
          <w:ilvl w:val="0"/>
          <w:numId w:val="20"/>
        </w:numPr>
        <w:spacing w:after="100" w:line="276" w:lineRule="auto"/>
        <w:jc w:val="both"/>
        <w:rPr>
          <w:rFonts w:ascii="Trebuchet MS" w:hAnsi="Trebuchet MS"/>
        </w:rPr>
      </w:pPr>
      <w:r w:rsidRPr="00AC01C1">
        <w:rPr>
          <w:rFonts w:ascii="Trebuchet MS" w:hAnsi="Trebuchet MS"/>
        </w:rPr>
        <w:t xml:space="preserve">Za datę poniesienia wydatku przyjmuje się: a) w przypadku wydatków pieniężnych: i. dokonanych przelewem lub obciążeniową kartą płatniczą – datę obciążenia rachunku płatniczego, tj. datę księgowania operacji, ii. dokonanych kartą kredytową lub podobnym instrumentem płatniczym o odroczonej płatności – datę transakcji skutkującej obciążeniem rachunku karty kredytowej lub podobnego instrumentu, iii. dokonanych gotówką – datę faktycznego dokonania płatności, </w:t>
      </w:r>
      <w:r w:rsidR="00D907EB" w:rsidRPr="00AC01C1">
        <w:rPr>
          <w:rFonts w:ascii="Trebuchet MS" w:hAnsi="Trebuchet MS"/>
        </w:rPr>
        <w:t>b</w:t>
      </w:r>
      <w:r w:rsidRPr="00AC01C1">
        <w:rPr>
          <w:rFonts w:ascii="Trebuchet MS" w:hAnsi="Trebuchet MS"/>
        </w:rPr>
        <w:t>) w przypadku potrącenia – datę, w której potrącenie staje się możliwe zgodnie z art. 499 ustawy Kodeks cywilny.</w:t>
      </w:r>
    </w:p>
    <w:p w14:paraId="3283136D" w14:textId="77777777" w:rsidR="00B60ABC" w:rsidRPr="00AC01C1" w:rsidRDefault="00B60ABC" w:rsidP="00242ACB">
      <w:pPr>
        <w:pStyle w:val="Akapitzlist"/>
        <w:numPr>
          <w:ilvl w:val="0"/>
          <w:numId w:val="20"/>
        </w:numPr>
        <w:spacing w:after="100" w:line="276" w:lineRule="auto"/>
        <w:jc w:val="both"/>
        <w:rPr>
          <w:rFonts w:ascii="Trebuchet MS" w:hAnsi="Trebuchet MS"/>
        </w:rPr>
      </w:pPr>
      <w:r w:rsidRPr="00AC01C1">
        <w:rPr>
          <w:rFonts w:ascii="Trebuchet MS" w:hAnsi="Trebuchet MS"/>
        </w:rPr>
        <w:t xml:space="preserve">W ramach projektu należy prowadzić wyodrębnioną ewidencję księgową kosztów, wydatków i przychodów, polegającą w szczególności na prowadzeniu odrębnego systemu księgowego lub stosowaniu w ramach istniejącego systemu księgowego odrębnego kodu księgowego umożliwiającego identyfikację wszystkich transakcji oraz poszczególnych </w:t>
      </w:r>
      <w:r w:rsidRPr="00AC01C1">
        <w:rPr>
          <w:rFonts w:ascii="Trebuchet MS" w:hAnsi="Trebuchet MS"/>
        </w:rPr>
        <w:lastRenderedPageBreak/>
        <w:t xml:space="preserve">operacji bankowych związanych z projektem oraz zapewnić, że operacje gospodarcze są ewidencjonowane zgodnie z obowiązującymi przepisami. </w:t>
      </w:r>
    </w:p>
    <w:p w14:paraId="698D0BB8" w14:textId="77777777" w:rsidR="00B60ABC" w:rsidRPr="00AC01C1" w:rsidRDefault="00B60ABC" w:rsidP="00242ACB">
      <w:pPr>
        <w:pStyle w:val="Akapitzlist"/>
        <w:numPr>
          <w:ilvl w:val="0"/>
          <w:numId w:val="20"/>
        </w:numPr>
        <w:spacing w:after="100" w:line="276" w:lineRule="auto"/>
        <w:jc w:val="both"/>
        <w:rPr>
          <w:rFonts w:ascii="Trebuchet MS" w:hAnsi="Trebuchet MS"/>
        </w:rPr>
      </w:pPr>
      <w:r w:rsidRPr="00AC01C1">
        <w:rPr>
          <w:rFonts w:ascii="Trebuchet MS" w:hAnsi="Trebuchet MS"/>
        </w:rPr>
        <w:t>Dokumenty związane z realizacją projektu powinny być przechowywane przez okres wskazany w umowie o dofinansowanie.</w:t>
      </w:r>
    </w:p>
    <w:p w14:paraId="63078ADA" w14:textId="77777777" w:rsidR="00B60ABC" w:rsidRPr="00AC01C1" w:rsidRDefault="00B60ABC" w:rsidP="00242ACB">
      <w:pPr>
        <w:pStyle w:val="Akapitzlist"/>
        <w:numPr>
          <w:ilvl w:val="0"/>
          <w:numId w:val="20"/>
        </w:numPr>
        <w:spacing w:after="100" w:line="276" w:lineRule="auto"/>
        <w:jc w:val="both"/>
        <w:rPr>
          <w:rFonts w:ascii="Trebuchet MS" w:hAnsi="Trebuchet MS"/>
        </w:rPr>
      </w:pPr>
      <w:r w:rsidRPr="00AC01C1">
        <w:rPr>
          <w:rFonts w:ascii="Trebuchet MS" w:hAnsi="Trebuchet MS"/>
        </w:rPr>
        <w:t>W sytuacji poniesienia wydatku w walucie innej niż PLN, ujemne różnice kursowe nie są kwalifikowalne. Dodatnie różnice kursowe nie są traktowane jako przychód w projekcie, jednakże za kwalifikowalny może zostać uznany wydatek w wysokości nie większej niż faktycznie poniesiony i odzwierciedlony w księgach rachunkowych beneficjenta, zgodnie z przepisami krajowymi w zakresie rachunkowości oraz podatku o VAT</w:t>
      </w:r>
      <w:r w:rsidR="00D907EB" w:rsidRPr="00AC01C1">
        <w:rPr>
          <w:rFonts w:ascii="Trebuchet MS" w:hAnsi="Trebuchet MS"/>
        </w:rPr>
        <w:t>.</w:t>
      </w:r>
    </w:p>
    <w:p w14:paraId="3366B473" w14:textId="77777777" w:rsidR="00C76614" w:rsidRPr="00AC01C1" w:rsidRDefault="00C76614" w:rsidP="00D907EB">
      <w:pPr>
        <w:spacing w:after="100" w:line="276" w:lineRule="auto"/>
        <w:jc w:val="center"/>
        <w:rPr>
          <w:rFonts w:ascii="Trebuchet MS" w:hAnsi="Trebuchet MS"/>
          <w:b/>
          <w:bCs/>
        </w:rPr>
      </w:pPr>
      <w:bookmarkStart w:id="10" w:name="_Hlk133854557"/>
      <w:r w:rsidRPr="00AC01C1">
        <w:rPr>
          <w:rFonts w:ascii="Trebuchet MS" w:hAnsi="Trebuchet MS"/>
          <w:b/>
          <w:bCs/>
        </w:rPr>
        <w:t xml:space="preserve">§ </w:t>
      </w:r>
      <w:r w:rsidR="00FD5BB2" w:rsidRPr="00AC01C1">
        <w:rPr>
          <w:rFonts w:ascii="Trebuchet MS" w:hAnsi="Trebuchet MS"/>
          <w:b/>
          <w:bCs/>
        </w:rPr>
        <w:t>6</w:t>
      </w:r>
    </w:p>
    <w:bookmarkEnd w:id="10"/>
    <w:p w14:paraId="06255ECC" w14:textId="77777777" w:rsidR="00C76614" w:rsidRPr="00AC01C1" w:rsidRDefault="00C76614" w:rsidP="00242ACB">
      <w:pPr>
        <w:pStyle w:val="Akapitzlist"/>
        <w:numPr>
          <w:ilvl w:val="2"/>
          <w:numId w:val="25"/>
        </w:numPr>
        <w:spacing w:after="100" w:line="276" w:lineRule="auto"/>
        <w:contextualSpacing w:val="0"/>
        <w:jc w:val="both"/>
        <w:rPr>
          <w:rFonts w:ascii="Trebuchet MS" w:hAnsi="Trebuchet MS"/>
        </w:rPr>
      </w:pPr>
      <w:r w:rsidRPr="00AC01C1">
        <w:rPr>
          <w:rFonts w:ascii="Trebuchet MS" w:hAnsi="Trebuchet MS"/>
        </w:rPr>
        <w:t xml:space="preserve">Obowiązek spełnienia przez planowaną pomoc tzw. efektu zachęty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 albo nie zostałaby w ogóle zrealizowana, bez pomocy ze strony państwa (bez udzielenia na dany projekt pomocy publicznej). </w:t>
      </w:r>
    </w:p>
    <w:p w14:paraId="62B2625E" w14:textId="77777777" w:rsidR="00C76614" w:rsidRPr="00AC01C1" w:rsidRDefault="00C76614" w:rsidP="00242ACB">
      <w:pPr>
        <w:pStyle w:val="Akapitzlist"/>
        <w:numPr>
          <w:ilvl w:val="2"/>
          <w:numId w:val="25"/>
        </w:numPr>
        <w:spacing w:after="100" w:line="276" w:lineRule="auto"/>
        <w:contextualSpacing w:val="0"/>
        <w:jc w:val="both"/>
        <w:rPr>
          <w:rFonts w:ascii="Trebuchet MS" w:hAnsi="Trebuchet MS"/>
        </w:rPr>
      </w:pPr>
      <w:r w:rsidRPr="00AC01C1">
        <w:rPr>
          <w:rFonts w:ascii="Trebuchet MS" w:hAnsi="Trebuchet MS"/>
        </w:rPr>
        <w:t>W przypadku pomocy na rozwój sieci szerokopasmowych, dla których podstawą prawną są przepisy art. 52 rozporządzenia KE nr 651/2014, spełnienie przez planowaną pomoc efektu zachęty weryfikowane jest poprzez fakt, iż wnioskodawca powstrzymał się z rozpoczęciem prac nad projektem do czasu złożenia wniosku o przyznanie pomocy (dofinasowanie). Warunek ten dotyczy wszystkich podmiotów – zarówno MŚP, jak i dużych przedsiębiorstw.</w:t>
      </w:r>
      <w:r w:rsidRPr="00AC01C1">
        <w:rPr>
          <w:rStyle w:val="Odwoanieprzypisudolnego"/>
          <w:rFonts w:ascii="Trebuchet MS" w:hAnsi="Trebuchet MS"/>
        </w:rPr>
        <w:footnoteReference w:id="1"/>
      </w:r>
      <w:r w:rsidR="00AD467F" w:rsidRPr="00AC01C1">
        <w:rPr>
          <w:rFonts w:ascii="Trebuchet MS" w:hAnsi="Trebuchet MS"/>
        </w:rPr>
        <w:t xml:space="preserve"> Ponadto, ze względu na przepisy ustawy o finansach publicznych realizacja projektu nie może być rozpoczęta przed zawarciem umowy o dofinansowanie.</w:t>
      </w:r>
    </w:p>
    <w:p w14:paraId="70749B12" w14:textId="77777777" w:rsidR="00C76614" w:rsidRPr="00AC01C1" w:rsidRDefault="00C76614" w:rsidP="00242ACB">
      <w:pPr>
        <w:pStyle w:val="Akapitzlist"/>
        <w:numPr>
          <w:ilvl w:val="2"/>
          <w:numId w:val="25"/>
        </w:numPr>
        <w:spacing w:after="100" w:line="276" w:lineRule="auto"/>
        <w:contextualSpacing w:val="0"/>
        <w:jc w:val="both"/>
        <w:rPr>
          <w:rFonts w:ascii="Trebuchet MS" w:hAnsi="Trebuchet MS"/>
        </w:rPr>
      </w:pPr>
      <w:r w:rsidRPr="00AC01C1">
        <w:rPr>
          <w:rFonts w:ascii="Trebuchet MS" w:hAnsi="Trebuchet MS"/>
        </w:rPr>
        <w:t>W stosunku do dużych przedsiębiorstw, którym ma być udzielona pomoc ad hoc na podstawie przepisów rozporządzenia 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w:t>
      </w:r>
    </w:p>
    <w:p w14:paraId="446DE319" w14:textId="77777777" w:rsidR="00C76614" w:rsidRPr="00AC01C1" w:rsidRDefault="00C76614" w:rsidP="00242ACB">
      <w:pPr>
        <w:pStyle w:val="Akapitzlist"/>
        <w:numPr>
          <w:ilvl w:val="2"/>
          <w:numId w:val="25"/>
        </w:numPr>
        <w:spacing w:after="100" w:line="276" w:lineRule="auto"/>
        <w:contextualSpacing w:val="0"/>
        <w:jc w:val="both"/>
        <w:rPr>
          <w:rFonts w:ascii="Trebuchet MS" w:hAnsi="Trebuchet MS"/>
        </w:rPr>
      </w:pPr>
      <w:r w:rsidRPr="00AC01C1">
        <w:rPr>
          <w:rFonts w:ascii="Trebuchet MS" w:hAnsi="Trebuchet MS"/>
        </w:rPr>
        <w:t xml:space="preserve">Przez rozpoczęcie prac w rozumieniu przepisów rozporządzenia 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studiów wykonalności, co do zasady, nie uważa się za rozpoczęcie prac. </w:t>
      </w:r>
    </w:p>
    <w:p w14:paraId="46ADFCBD" w14:textId="77777777" w:rsidR="00C76614" w:rsidRPr="00AC01C1" w:rsidRDefault="00C76614" w:rsidP="00242ACB">
      <w:pPr>
        <w:pStyle w:val="Akapitzlist"/>
        <w:numPr>
          <w:ilvl w:val="2"/>
          <w:numId w:val="25"/>
        </w:numPr>
        <w:spacing w:after="100" w:line="276" w:lineRule="auto"/>
        <w:contextualSpacing w:val="0"/>
        <w:jc w:val="both"/>
        <w:rPr>
          <w:rFonts w:ascii="Trebuchet MS" w:hAnsi="Trebuchet MS"/>
        </w:rPr>
      </w:pPr>
      <w:r w:rsidRPr="00AC01C1">
        <w:rPr>
          <w:rFonts w:ascii="Trebuchet MS" w:hAnsi="Trebuchet MS"/>
        </w:rPr>
        <w:lastRenderedPageBreak/>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14:paraId="1BC5C384" w14:textId="77777777" w:rsidR="00C76614" w:rsidRPr="00AC01C1" w:rsidRDefault="00C76614" w:rsidP="00242ACB">
      <w:pPr>
        <w:pStyle w:val="Akapitzlist"/>
        <w:numPr>
          <w:ilvl w:val="2"/>
          <w:numId w:val="25"/>
        </w:numPr>
        <w:spacing w:after="100" w:line="276" w:lineRule="auto"/>
        <w:contextualSpacing w:val="0"/>
        <w:jc w:val="both"/>
        <w:rPr>
          <w:rFonts w:ascii="Trebuchet MS" w:hAnsi="Trebuchet MS"/>
        </w:rPr>
      </w:pPr>
      <w:r w:rsidRPr="00AC01C1">
        <w:rPr>
          <w:rFonts w:ascii="Trebuchet MS" w:hAnsi="Trebuchet MS"/>
        </w:rPr>
        <w:t xml:space="preserve">W zakresie samych prac budowlanych – należy odwoływać się do regulacji prawnych zawartych w ustawie - Prawo budowlane. W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 tej ustawy: rozpoczęcie budowy następuje z chwilą podjęcia prac przygotowawczych na terenie budowy, tj.: a) wytyczenia geodezyjnego obiektów w terenie, b) wykonania niwelacji terenu, c) zagospodarowania terenu budowy wraz z budową tymczasowych obiektów, d) wykonania przyłączy do sieci infrastruktury technicznej na potrzeby budowy. </w:t>
      </w:r>
    </w:p>
    <w:p w14:paraId="0CEA652A" w14:textId="77777777" w:rsidR="00C76614" w:rsidRPr="00AC01C1" w:rsidRDefault="00C76614" w:rsidP="00242ACB">
      <w:pPr>
        <w:pStyle w:val="Akapitzlist"/>
        <w:numPr>
          <w:ilvl w:val="2"/>
          <w:numId w:val="25"/>
        </w:numPr>
        <w:spacing w:after="100" w:line="276" w:lineRule="auto"/>
        <w:contextualSpacing w:val="0"/>
        <w:jc w:val="both"/>
        <w:rPr>
          <w:rFonts w:ascii="Trebuchet MS" w:hAnsi="Trebuchet MS"/>
        </w:rPr>
      </w:pPr>
      <w:r w:rsidRPr="00AC01C1">
        <w:rPr>
          <w:rFonts w:ascii="Trebuchet MS" w:hAnsi="Trebuchet MS"/>
        </w:rPr>
        <w:t xml:space="preserve">Za rozpoczęcie prac budowlanych uważa się zatem: a) faktyczne rozpoczęcie tych prac, co w praktyce jest odzwierciedlone w dzienniku budowy jako pierwszy wpis do tego dokumentu (dotyczący rozpoczęcia prac przygotowawczych lub budowlanych), jak również: b) podpisanie umowy z wykonawcą (podjęcie prawnie wiążącego zobowiązania, nawet jeżeli prace faktycznie nie rozpoczęły się). </w:t>
      </w:r>
    </w:p>
    <w:p w14:paraId="1737B74E" w14:textId="77777777" w:rsidR="00C76614" w:rsidRPr="00AC01C1" w:rsidRDefault="00C76614" w:rsidP="00242ACB">
      <w:pPr>
        <w:pStyle w:val="Akapitzlist"/>
        <w:numPr>
          <w:ilvl w:val="2"/>
          <w:numId w:val="25"/>
        </w:numPr>
        <w:spacing w:after="100" w:line="276" w:lineRule="auto"/>
        <w:contextualSpacing w:val="0"/>
        <w:jc w:val="both"/>
        <w:rPr>
          <w:rFonts w:ascii="Trebuchet MS" w:hAnsi="Trebuchet MS"/>
        </w:rPr>
      </w:pPr>
      <w:r w:rsidRPr="00AC01C1">
        <w:rPr>
          <w:rFonts w:ascii="Trebuchet MS" w:hAnsi="Trebuchet MS"/>
        </w:rPr>
        <w:t>W zakresie zamówienia (urządzeń) ruchomych środków trwałych - „pierwsze wiążące zobowiązanie” do zamówienia urządzeń/ruchomych środków trwałych należy oceniać z punktu widzenia charakteru i treści warunków umowy, a nie z punktu widzenia jej formalnej klasyfikacji</w:t>
      </w:r>
      <w:r w:rsidR="00703960" w:rsidRPr="00AC01C1">
        <w:rPr>
          <w:rFonts w:ascii="Trebuchet MS" w:hAnsi="Trebuchet MS"/>
        </w:rPr>
        <w:t>.</w:t>
      </w:r>
    </w:p>
    <w:p w14:paraId="4F7FE3E8" w14:textId="77777777" w:rsidR="00703960" w:rsidRPr="00AC01C1" w:rsidRDefault="00703960" w:rsidP="00242ACB">
      <w:pPr>
        <w:pStyle w:val="Akapitzlist"/>
        <w:numPr>
          <w:ilvl w:val="2"/>
          <w:numId w:val="25"/>
        </w:numPr>
        <w:spacing w:after="100" w:line="276" w:lineRule="auto"/>
        <w:contextualSpacing w:val="0"/>
        <w:jc w:val="both"/>
        <w:rPr>
          <w:rFonts w:ascii="Trebuchet MS" w:hAnsi="Trebuchet MS"/>
        </w:rPr>
      </w:pPr>
      <w:r w:rsidRPr="00AC01C1">
        <w:rPr>
          <w:rFonts w:ascii="Trebuchet MS" w:hAnsi="Trebuchet MS"/>
        </w:rPr>
        <w:t xml:space="preserve">Obowiązek przestrzegania zasad kumulacji pomocy – różne rodzaje pomocy publicznej (a także różne rodzaje pomocy publicznej z pomocą de </w:t>
      </w:r>
      <w:proofErr w:type="spellStart"/>
      <w:r w:rsidRPr="00AC01C1">
        <w:rPr>
          <w:rFonts w:ascii="Trebuchet MS" w:hAnsi="Trebuchet MS"/>
        </w:rPr>
        <w:t>minimis</w:t>
      </w:r>
      <w:proofErr w:type="spellEnd"/>
      <w:r w:rsidRPr="00AC01C1">
        <w:rPr>
          <w:rFonts w:ascii="Trebuchet MS" w:hAnsi="Trebuchet MS"/>
        </w:rPr>
        <w:t>) można kumulować ze sobą w stosunku do tych samych wydatków kwalifikowalnych do poziomu najwyższej dopuszczalnej intensywności przewidzianej dla danego rodzaju pomocy publicznej.</w:t>
      </w:r>
    </w:p>
    <w:p w14:paraId="78571A70" w14:textId="77777777" w:rsidR="00703960" w:rsidRPr="00AC01C1" w:rsidRDefault="00703960" w:rsidP="00242ACB">
      <w:pPr>
        <w:pStyle w:val="Akapitzlist"/>
        <w:numPr>
          <w:ilvl w:val="2"/>
          <w:numId w:val="25"/>
        </w:numPr>
        <w:spacing w:after="100" w:line="276" w:lineRule="auto"/>
        <w:contextualSpacing w:val="0"/>
        <w:jc w:val="both"/>
        <w:rPr>
          <w:rFonts w:ascii="Trebuchet MS" w:hAnsi="Trebuchet MS"/>
        </w:rPr>
      </w:pPr>
      <w:r w:rsidRPr="00AC01C1">
        <w:rPr>
          <w:rFonts w:ascii="Trebuchet MS" w:hAnsi="Trebuchet MS"/>
        </w:rPr>
        <w:t>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w:t>
      </w:r>
    </w:p>
    <w:p w14:paraId="409E2EC0" w14:textId="77777777" w:rsidR="00F67A3A" w:rsidRPr="00AC01C1" w:rsidRDefault="00F67A3A" w:rsidP="00242ACB">
      <w:pPr>
        <w:pStyle w:val="Akapitzlist"/>
        <w:numPr>
          <w:ilvl w:val="2"/>
          <w:numId w:val="25"/>
        </w:numPr>
        <w:spacing w:after="100" w:line="276" w:lineRule="auto"/>
        <w:contextualSpacing w:val="0"/>
        <w:jc w:val="both"/>
        <w:rPr>
          <w:rFonts w:ascii="Trebuchet MS" w:hAnsi="Trebuchet MS"/>
        </w:rPr>
      </w:pPr>
      <w:r w:rsidRPr="00AC01C1">
        <w:rPr>
          <w:rFonts w:ascii="Trebuchet MS" w:hAnsi="Trebuchet MS"/>
        </w:rPr>
        <w:t>Beneficjent realizując projekt, a Wykonawca realizując zamówienie, zobowiązany jest do zapewnienia – w zakresie odpowiadającym przedmiotowi odpowiednio projektu lub umowy i jego właściwościom -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w:t>
      </w:r>
    </w:p>
    <w:p w14:paraId="0F746387" w14:textId="77777777" w:rsidR="00703960" w:rsidRPr="00AC01C1" w:rsidRDefault="00703960" w:rsidP="00D907EB">
      <w:pPr>
        <w:spacing w:after="100" w:line="276" w:lineRule="auto"/>
        <w:jc w:val="center"/>
        <w:rPr>
          <w:rFonts w:ascii="Trebuchet MS" w:hAnsi="Trebuchet MS"/>
          <w:b/>
          <w:bCs/>
        </w:rPr>
      </w:pPr>
      <w:bookmarkStart w:id="11" w:name="_Hlk133854780"/>
      <w:r w:rsidRPr="00AC01C1">
        <w:rPr>
          <w:rFonts w:ascii="Trebuchet MS" w:hAnsi="Trebuchet MS"/>
          <w:b/>
          <w:bCs/>
        </w:rPr>
        <w:t xml:space="preserve">§ </w:t>
      </w:r>
      <w:r w:rsidR="00FD5BB2" w:rsidRPr="00AC01C1">
        <w:rPr>
          <w:rFonts w:ascii="Trebuchet MS" w:hAnsi="Trebuchet MS"/>
          <w:b/>
          <w:bCs/>
        </w:rPr>
        <w:t>7</w:t>
      </w:r>
    </w:p>
    <w:bookmarkEnd w:id="11"/>
    <w:p w14:paraId="7F1AFB78" w14:textId="77777777" w:rsidR="004B4785" w:rsidRPr="00AC01C1" w:rsidRDefault="004B4785" w:rsidP="00242ACB">
      <w:pPr>
        <w:pStyle w:val="Akapitzlist"/>
        <w:numPr>
          <w:ilvl w:val="0"/>
          <w:numId w:val="4"/>
        </w:numPr>
        <w:spacing w:after="100" w:line="276" w:lineRule="auto"/>
        <w:ind w:left="426"/>
        <w:contextualSpacing w:val="0"/>
        <w:jc w:val="both"/>
        <w:rPr>
          <w:rFonts w:ascii="Trebuchet MS" w:hAnsi="Trebuchet MS"/>
        </w:rPr>
      </w:pPr>
      <w:r w:rsidRPr="00AC01C1">
        <w:rPr>
          <w:rFonts w:ascii="Trebuchet MS" w:hAnsi="Trebuchet MS"/>
        </w:rPr>
        <w:t>Beneficjenta jest zobowiązany do udzielenia zamówienia w sposób zapewniający przejrzystość oraz zachowanie uczciwej konkurencji i równego traktowania wykonawców. Wydatki w ramach projektu muszą być ponoszone w sposób przejrzysty, racjonalny i efektywny.</w:t>
      </w:r>
    </w:p>
    <w:p w14:paraId="492E2B18" w14:textId="713FF18C" w:rsidR="00525D30" w:rsidRPr="00A915B5" w:rsidRDefault="00703960" w:rsidP="00242ACB">
      <w:pPr>
        <w:pStyle w:val="Akapitzlist"/>
        <w:numPr>
          <w:ilvl w:val="0"/>
          <w:numId w:val="4"/>
        </w:numPr>
        <w:spacing w:after="100" w:line="276" w:lineRule="auto"/>
        <w:ind w:left="426"/>
        <w:contextualSpacing w:val="0"/>
        <w:jc w:val="both"/>
        <w:rPr>
          <w:rFonts w:ascii="Trebuchet MS" w:hAnsi="Trebuchet MS"/>
          <w:color w:val="000000"/>
        </w:rPr>
      </w:pPr>
      <w:r w:rsidRPr="00AC01C1">
        <w:rPr>
          <w:rFonts w:ascii="Trebuchet MS" w:hAnsi="Trebuchet MS"/>
        </w:rPr>
        <w:lastRenderedPageBreak/>
        <w:t xml:space="preserve">W przypadku, gdy beneficjent </w:t>
      </w:r>
      <w:r w:rsidRPr="00A915B5">
        <w:rPr>
          <w:rFonts w:ascii="Trebuchet MS" w:hAnsi="Trebuchet MS"/>
          <w:color w:val="000000"/>
        </w:rPr>
        <w:t xml:space="preserve">nie jest zobligowany do stosowania przepisów o zamówieniach publicznych, udzielenie zamówienia </w:t>
      </w:r>
      <w:r w:rsidR="000A4028" w:rsidRPr="00A915B5">
        <w:rPr>
          <w:rFonts w:ascii="Trebuchet MS" w:hAnsi="Trebuchet MS"/>
          <w:color w:val="000000"/>
        </w:rPr>
        <w:t xml:space="preserve">przekraczającego kwotę </w:t>
      </w:r>
      <w:r w:rsidR="00B528DB">
        <w:rPr>
          <w:rFonts w:ascii="Trebuchet MS" w:hAnsi="Trebuchet MS"/>
          <w:color w:val="000000"/>
        </w:rPr>
        <w:t>20</w:t>
      </w:r>
      <w:r w:rsidR="000A4028" w:rsidRPr="00A915B5">
        <w:rPr>
          <w:rFonts w:ascii="Trebuchet MS" w:hAnsi="Trebuchet MS"/>
          <w:color w:val="000000"/>
        </w:rPr>
        <w:t xml:space="preserve"> 000 zł netto </w:t>
      </w:r>
      <w:r w:rsidR="00AC01C1" w:rsidRPr="00A915B5">
        <w:rPr>
          <w:rFonts w:ascii="Trebuchet MS" w:hAnsi="Trebuchet MS"/>
          <w:color w:val="000000"/>
        </w:rPr>
        <w:t xml:space="preserve">wymaga obowiązkowo co najmniej </w:t>
      </w:r>
      <w:r w:rsidRPr="00A915B5">
        <w:rPr>
          <w:rFonts w:ascii="Trebuchet MS" w:hAnsi="Trebuchet MS"/>
          <w:color w:val="000000"/>
        </w:rPr>
        <w:t>przeprowadzeni</w:t>
      </w:r>
      <w:r w:rsidR="00AC01C1" w:rsidRPr="00A915B5">
        <w:rPr>
          <w:rFonts w:ascii="Trebuchet MS" w:hAnsi="Trebuchet MS"/>
          <w:color w:val="000000"/>
        </w:rPr>
        <w:t>a</w:t>
      </w:r>
      <w:r w:rsidRPr="00A915B5">
        <w:rPr>
          <w:rFonts w:ascii="Trebuchet MS" w:hAnsi="Trebuchet MS"/>
          <w:color w:val="000000"/>
        </w:rPr>
        <w:t xml:space="preserve"> procedury rozeznania rynku</w:t>
      </w:r>
      <w:r w:rsidR="00525D30" w:rsidRPr="00A915B5">
        <w:rPr>
          <w:rFonts w:ascii="Trebuchet MS" w:hAnsi="Trebuchet MS"/>
          <w:color w:val="000000"/>
        </w:rPr>
        <w:t xml:space="preserve"> zgodnie z ust. 4 poniżej.</w:t>
      </w:r>
    </w:p>
    <w:p w14:paraId="0B382558" w14:textId="77777777" w:rsidR="008D5BC5" w:rsidRPr="00AC01C1" w:rsidRDefault="00B468DD" w:rsidP="00242ACB">
      <w:pPr>
        <w:pStyle w:val="Akapitzlist"/>
        <w:numPr>
          <w:ilvl w:val="0"/>
          <w:numId w:val="4"/>
        </w:numPr>
        <w:spacing w:after="100" w:line="276" w:lineRule="auto"/>
        <w:ind w:left="426"/>
        <w:contextualSpacing w:val="0"/>
        <w:jc w:val="both"/>
        <w:rPr>
          <w:rFonts w:ascii="Trebuchet MS" w:hAnsi="Trebuchet MS"/>
        </w:rPr>
      </w:pPr>
      <w:r w:rsidRPr="00AC01C1">
        <w:rPr>
          <w:rFonts w:ascii="Trebuchet MS" w:hAnsi="Trebuchet MS"/>
        </w:rPr>
        <w:t>Podstawą ustalenia wartości zamówienia w ramach projektu jest całkowite szacunkowe wynagrodzenie wykonawcy netto, tj. bez podatku od towarów i usług (VAT), ustalone z należytą starannością i dokumentowane w sposób zapewniający właściwą ścieżkę audytu. Zabronione jest zaniżanie wartości szacunkowej zamówienia lub jego podział skutkujący zaniżeniem jego wartości szacunkowej. W przypadku udzielania zamówienia w częściach (z określonych względów ekonomicznych, organizacyjnych, celowościowych), wartość zamówienia ustala się jako łączną wartość poszczególnych jego części.</w:t>
      </w:r>
    </w:p>
    <w:p w14:paraId="03FD4A7C" w14:textId="77777777" w:rsidR="00E62BDC" w:rsidRPr="00AC01C1" w:rsidRDefault="00B468DD" w:rsidP="00242ACB">
      <w:pPr>
        <w:pStyle w:val="Akapitzlist"/>
        <w:numPr>
          <w:ilvl w:val="0"/>
          <w:numId w:val="4"/>
        </w:numPr>
        <w:spacing w:after="100" w:line="276" w:lineRule="auto"/>
        <w:ind w:left="426"/>
        <w:contextualSpacing w:val="0"/>
        <w:jc w:val="both"/>
        <w:rPr>
          <w:rFonts w:ascii="Trebuchet MS" w:hAnsi="Trebuchet MS"/>
        </w:rPr>
      </w:pPr>
      <w:r w:rsidRPr="00AC01C1">
        <w:rPr>
          <w:rFonts w:ascii="Trebuchet MS" w:hAnsi="Trebuchet MS"/>
        </w:rPr>
        <w:t xml:space="preserve">Rozeznanie rynku ma na celu potwierdzenie, że dana usługa, dostawa lub robota budowlana została wykonana po cenie rynkowej. </w:t>
      </w:r>
      <w:r w:rsidR="001E03A0" w:rsidRPr="00AC01C1">
        <w:rPr>
          <w:rFonts w:ascii="Trebuchet MS" w:hAnsi="Trebuchet MS"/>
        </w:rPr>
        <w:t>W celu potwierdzenia przeprowadzenia rozeznania rynku konieczne jest</w:t>
      </w:r>
      <w:r w:rsidR="001F5ADA" w:rsidRPr="00AC01C1">
        <w:rPr>
          <w:rFonts w:ascii="Trebuchet MS" w:hAnsi="Trebuchet MS"/>
        </w:rPr>
        <w:t>: a)</w:t>
      </w:r>
      <w:r w:rsidR="001E03A0" w:rsidRPr="00AC01C1">
        <w:rPr>
          <w:rFonts w:ascii="Trebuchet MS" w:hAnsi="Trebuchet MS"/>
        </w:rPr>
        <w:t xml:space="preserve"> upublicznienie </w:t>
      </w:r>
      <w:r w:rsidR="001F5ADA" w:rsidRPr="00AC01C1">
        <w:rPr>
          <w:rFonts w:ascii="Trebuchet MS" w:hAnsi="Trebuchet MS"/>
        </w:rPr>
        <w:t xml:space="preserve">na stronie internetowej Beneficjenta </w:t>
      </w:r>
      <w:r w:rsidR="001E03A0" w:rsidRPr="00AC01C1">
        <w:rPr>
          <w:rFonts w:ascii="Trebuchet MS" w:hAnsi="Trebuchet MS"/>
        </w:rPr>
        <w:t xml:space="preserve">opisu przedmiotu zamówienia wraz z </w:t>
      </w:r>
      <w:r w:rsidR="001F5ADA" w:rsidRPr="00AC01C1">
        <w:rPr>
          <w:rFonts w:ascii="Trebuchet MS" w:hAnsi="Trebuchet MS"/>
        </w:rPr>
        <w:t xml:space="preserve">określeniem kryteriów jakościowych i </w:t>
      </w:r>
      <w:r w:rsidR="001E03A0" w:rsidRPr="00AC01C1">
        <w:rPr>
          <w:rFonts w:ascii="Trebuchet MS" w:hAnsi="Trebuchet MS"/>
        </w:rPr>
        <w:t>zapytaniem o cenę</w:t>
      </w:r>
      <w:r w:rsidR="001F5ADA" w:rsidRPr="00AC01C1">
        <w:rPr>
          <w:rFonts w:ascii="Trebuchet MS" w:hAnsi="Trebuchet MS"/>
        </w:rPr>
        <w:t xml:space="preserve">, b) </w:t>
      </w:r>
      <w:r w:rsidR="001E03A0" w:rsidRPr="00AC01C1">
        <w:rPr>
          <w:rFonts w:ascii="Trebuchet MS" w:hAnsi="Trebuchet MS"/>
        </w:rPr>
        <w:t xml:space="preserve">skierowanie zapytań o cenę wraz z opisem przedmiotu zamówienia do </w:t>
      </w:r>
      <w:r w:rsidR="00AD467F" w:rsidRPr="00AC01C1">
        <w:rPr>
          <w:rFonts w:ascii="Trebuchet MS" w:hAnsi="Trebuchet MS"/>
        </w:rPr>
        <w:t xml:space="preserve">co najmniej trzech (3) </w:t>
      </w:r>
      <w:r w:rsidR="001E03A0" w:rsidRPr="00AC01C1">
        <w:rPr>
          <w:rFonts w:ascii="Trebuchet MS" w:hAnsi="Trebuchet MS"/>
        </w:rPr>
        <w:t>potencjalnych wykonawców</w:t>
      </w:r>
      <w:r w:rsidR="001F5ADA" w:rsidRPr="00AC01C1">
        <w:rPr>
          <w:rFonts w:ascii="Trebuchet MS" w:hAnsi="Trebuchet MS"/>
        </w:rPr>
        <w:t>, c) wybór oferty najkorzystniejszej na podstawie ustanowionych z wyprzedzeniem obiektywnych, przejrzystych i niedyskryminujących kryteriów jakościowych, a w przypadku podobnych kryteriów jakościowych Beneficjent wybiera ofertę z najniższą ceną.</w:t>
      </w:r>
    </w:p>
    <w:p w14:paraId="271F1C4A" w14:textId="77777777" w:rsidR="00B468DD" w:rsidRPr="00AC01C1" w:rsidRDefault="00C360E2" w:rsidP="00242ACB">
      <w:pPr>
        <w:pStyle w:val="Akapitzlist"/>
        <w:numPr>
          <w:ilvl w:val="0"/>
          <w:numId w:val="4"/>
        </w:numPr>
        <w:spacing w:after="100" w:line="276" w:lineRule="auto"/>
        <w:ind w:left="426"/>
        <w:contextualSpacing w:val="0"/>
        <w:jc w:val="both"/>
        <w:rPr>
          <w:rFonts w:ascii="Trebuchet MS" w:hAnsi="Trebuchet MS"/>
        </w:rPr>
      </w:pPr>
      <w:r w:rsidRPr="00AC01C1">
        <w:rPr>
          <w:rFonts w:ascii="Trebuchet MS" w:hAnsi="Trebuchet MS"/>
        </w:rPr>
        <w:t xml:space="preserve">Przedmiot zamówienia opisuje się w sposób jednoznaczny i wyczerpujący, za pomocą dokładnych i zrozumiałych określeń, uwzględniając wszystkie wymagania i okoliczności mogące mieć wpływ na sporządzenie oferty. Jeżeli nie uzasadnia tego przedmiot zamówienia, opis przedmiotu zamówienia nie może zawierać odniesień do znaków towarowych, patentów lub pochodzenia, źródła lub szczególnego procesu, który charakteryzuje produkty lub usługi dostarczane przez konkretnego wykonawcę, jeżeli mogłoby to doprowadzić do uprzywilejowania lub wyeliminowania niektórych wykonawców lub produktów. W wyjątkowych przypadkach dopuszcza się stosowanie takich odniesień, jeżeli niemożliwe jest opisanie przedmiotu zamówienia w wystarczająco precyzyjny i zrozumiały sposób zgodnie ze zdaniem pierwszym. Takim odniesieniom muszą towarzyszyć słowa „lub równoważne”. </w:t>
      </w:r>
    </w:p>
    <w:p w14:paraId="6F8D00EC" w14:textId="77777777" w:rsidR="00C360E2" w:rsidRPr="00AC01C1" w:rsidRDefault="00C360E2" w:rsidP="00242ACB">
      <w:pPr>
        <w:pStyle w:val="Akapitzlist"/>
        <w:numPr>
          <w:ilvl w:val="0"/>
          <w:numId w:val="4"/>
        </w:numPr>
        <w:spacing w:after="100" w:line="276" w:lineRule="auto"/>
        <w:ind w:left="426"/>
        <w:contextualSpacing w:val="0"/>
        <w:jc w:val="both"/>
        <w:rPr>
          <w:rFonts w:ascii="Trebuchet MS" w:hAnsi="Trebuchet MS"/>
        </w:rPr>
      </w:pPr>
      <w:r w:rsidRPr="00AC01C1">
        <w:rPr>
          <w:rFonts w:ascii="Trebuchet MS" w:hAnsi="Trebuchet MS"/>
        </w:rPr>
        <w:t xml:space="preserve">Z procedury rozeznania rynku beneficjent sporządza protokół w formie pisemnej. Protokół zawiera co najmniej: a) wykaz wszystkich ofert, które wpłynęły w odpowiedzi na zapytanie ofertowe, wraz ze wskazaniem daty wpłynięcia oferty do zamawiającego, b) wskazanie wybranej oferty wraz z uzasadnieniem wyboru, c) datę sporządzenia protokołu i podpis zamawiającego, d) następujące załączniki: i. potwierdzenie upublicznienia zapytania ofertowego, ii. złożone oferty, iii. oświadczenia o braku powiązań </w:t>
      </w:r>
      <w:r w:rsidR="00E62BDC" w:rsidRPr="00AC01C1">
        <w:rPr>
          <w:rFonts w:ascii="Trebuchet MS" w:hAnsi="Trebuchet MS"/>
        </w:rPr>
        <w:t xml:space="preserve">osobowych lub kapitałowych </w:t>
      </w:r>
      <w:r w:rsidR="001F5ADA" w:rsidRPr="00AC01C1">
        <w:rPr>
          <w:rFonts w:ascii="Trebuchet MS" w:hAnsi="Trebuchet MS"/>
        </w:rPr>
        <w:t xml:space="preserve">Beneficjenta </w:t>
      </w:r>
      <w:r w:rsidRPr="00AC01C1">
        <w:rPr>
          <w:rFonts w:ascii="Trebuchet MS" w:hAnsi="Trebuchet MS"/>
        </w:rPr>
        <w:t xml:space="preserve">z wykonawcami, którzy złożyli oferty, </w:t>
      </w:r>
      <w:r w:rsidR="001F5ADA" w:rsidRPr="00AC01C1">
        <w:rPr>
          <w:rFonts w:ascii="Trebuchet MS" w:hAnsi="Trebuchet MS"/>
        </w:rPr>
        <w:t>przy czym oświadczenie powinno być podpisane przez Beneficjenta</w:t>
      </w:r>
      <w:r w:rsidRPr="00AC01C1">
        <w:rPr>
          <w:rFonts w:ascii="Trebuchet MS" w:hAnsi="Trebuchet MS"/>
        </w:rPr>
        <w:t xml:space="preserve"> i osoby wykonujące w imieniu </w:t>
      </w:r>
      <w:r w:rsidR="001F5ADA" w:rsidRPr="00AC01C1">
        <w:rPr>
          <w:rFonts w:ascii="Trebuchet MS" w:hAnsi="Trebuchet MS"/>
        </w:rPr>
        <w:t>Beneficjenta</w:t>
      </w:r>
      <w:r w:rsidRPr="00AC01C1">
        <w:rPr>
          <w:rFonts w:ascii="Trebuchet MS" w:hAnsi="Trebuchet MS"/>
        </w:rPr>
        <w:t xml:space="preserve"> czynności związane z procedurą wyboru wykonawcy, w tym biorące udział w procesie oceny ofert.</w:t>
      </w:r>
    </w:p>
    <w:p w14:paraId="0F6946DD" w14:textId="77777777" w:rsidR="004B4785" w:rsidRPr="00AC01C1" w:rsidRDefault="004B4785" w:rsidP="00242ACB">
      <w:pPr>
        <w:pStyle w:val="Akapitzlist"/>
        <w:numPr>
          <w:ilvl w:val="0"/>
          <w:numId w:val="4"/>
        </w:numPr>
        <w:spacing w:after="100" w:line="276" w:lineRule="auto"/>
        <w:ind w:left="426"/>
        <w:contextualSpacing w:val="0"/>
        <w:jc w:val="both"/>
        <w:rPr>
          <w:rFonts w:ascii="Trebuchet MS" w:hAnsi="Trebuchet MS"/>
        </w:rPr>
      </w:pPr>
      <w:r w:rsidRPr="00AC01C1">
        <w:rPr>
          <w:rFonts w:ascii="Trebuchet MS" w:hAnsi="Trebuchet MS"/>
        </w:rPr>
        <w:t>Procedury rozeznania rynku nie stosuje się do</w:t>
      </w:r>
      <w:r w:rsidR="00B468DD" w:rsidRPr="00AC01C1">
        <w:rPr>
          <w:rFonts w:ascii="Trebuchet MS" w:hAnsi="Trebuchet MS"/>
        </w:rPr>
        <w:t xml:space="preserve"> (spełnienie przesłanek musi być pisemnie uzasadnione)</w:t>
      </w:r>
      <w:r w:rsidRPr="00AC01C1">
        <w:rPr>
          <w:rFonts w:ascii="Trebuchet MS" w:hAnsi="Trebuchet MS"/>
        </w:rPr>
        <w:t>:</w:t>
      </w:r>
    </w:p>
    <w:p w14:paraId="54D039C4" w14:textId="77777777" w:rsidR="004B4785" w:rsidRPr="00AC01C1" w:rsidRDefault="004B4785" w:rsidP="00242ACB">
      <w:pPr>
        <w:pStyle w:val="Akapitzlist"/>
        <w:numPr>
          <w:ilvl w:val="3"/>
          <w:numId w:val="25"/>
        </w:numPr>
        <w:spacing w:after="100" w:line="276" w:lineRule="auto"/>
        <w:ind w:left="426"/>
        <w:contextualSpacing w:val="0"/>
        <w:jc w:val="both"/>
        <w:rPr>
          <w:rFonts w:ascii="Trebuchet MS" w:hAnsi="Trebuchet MS"/>
        </w:rPr>
      </w:pPr>
      <w:r w:rsidRPr="00AC01C1">
        <w:rPr>
          <w:rFonts w:ascii="Trebuchet MS" w:hAnsi="Trebuchet MS"/>
        </w:rPr>
        <w:lastRenderedPageBreak/>
        <w:t xml:space="preserve">w wyniku prawidłowego zastosowania procedury rozeznania rynku nie wpłynęła żadna oferta, lub wpłynęły tylko oferty podlegające odrzuceniu, albo wszyscy wykonawcy zostali wykluczeni z postępowania lub nie spełnili warunków udziału w postępowaniu; zawarcie umowy w sprawie realizacji zamówienia z pominięciem zasady procedury rozeznania rynku jest możliwe, gdy pierwotne warunki zamówienia nie zostały zmienione, </w:t>
      </w:r>
    </w:p>
    <w:p w14:paraId="5344F7DB" w14:textId="77777777" w:rsidR="004B4785" w:rsidRPr="00AC01C1" w:rsidRDefault="004B4785" w:rsidP="00242ACB">
      <w:pPr>
        <w:pStyle w:val="Akapitzlist"/>
        <w:numPr>
          <w:ilvl w:val="3"/>
          <w:numId w:val="25"/>
        </w:numPr>
        <w:spacing w:after="100" w:line="276" w:lineRule="auto"/>
        <w:ind w:left="426"/>
        <w:contextualSpacing w:val="0"/>
        <w:jc w:val="both"/>
        <w:rPr>
          <w:rFonts w:ascii="Trebuchet MS" w:hAnsi="Trebuchet MS"/>
        </w:rPr>
      </w:pPr>
      <w:r w:rsidRPr="00AC01C1">
        <w:rPr>
          <w:rFonts w:ascii="Trebuchet MS" w:hAnsi="Trebuchet MS"/>
        </w:rPr>
        <w:t>zamówienie może być zrealizowane tylko przez jednego wykonawcę z jednego z następujących powodów: i. brak konkurencji ze względów technicznych o obiektywnym charakterze, tzn. istnieje tylko jeden wykonawca, który jako jedyny może zrealizować zamówienie, ii. przedmiot zamówienia jest objęty ochroną praw wyłącznych, w tym praw własności intelektualnej, tzn. istnieje tylko jeden wykonawca, który ma wyłączne prawo do dysponowania przedmiotem zamówienia, a prawo to podlega ochronie ustawowej; wyłączenie może być zastosowane, o ile nie istnieje rozwiązanie alternatywne lub zastępcze, a brak konkurencji nie jest wynikiem sztucznego zawężania parametrów zamówienia</w:t>
      </w:r>
      <w:r w:rsidR="00B468DD" w:rsidRPr="00AC01C1">
        <w:rPr>
          <w:rFonts w:ascii="Trebuchet MS" w:hAnsi="Trebuchet MS"/>
        </w:rPr>
        <w:t>,</w:t>
      </w:r>
    </w:p>
    <w:p w14:paraId="17E57CBB" w14:textId="77777777" w:rsidR="00B468DD" w:rsidRPr="00AC01C1" w:rsidRDefault="00B468DD" w:rsidP="00242ACB">
      <w:pPr>
        <w:pStyle w:val="Akapitzlist"/>
        <w:numPr>
          <w:ilvl w:val="3"/>
          <w:numId w:val="25"/>
        </w:numPr>
        <w:spacing w:after="100" w:line="276" w:lineRule="auto"/>
        <w:ind w:left="426"/>
        <w:contextualSpacing w:val="0"/>
        <w:jc w:val="both"/>
        <w:rPr>
          <w:rFonts w:ascii="Trebuchet MS" w:hAnsi="Trebuchet MS"/>
        </w:rPr>
      </w:pPr>
      <w:r w:rsidRPr="00AC01C1">
        <w:rPr>
          <w:rFonts w:ascii="Trebuchet MS" w:hAnsi="Trebuchet MS"/>
        </w:rPr>
        <w:t xml:space="preserve">zamawiający udziela wykonawcy wybranemu zgodnie z </w:t>
      </w:r>
      <w:r w:rsidR="00D50B9E" w:rsidRPr="00AC01C1">
        <w:rPr>
          <w:rFonts w:ascii="Trebuchet MS" w:hAnsi="Trebuchet MS"/>
        </w:rPr>
        <w:t>procedurą rozeznania rynku</w:t>
      </w:r>
      <w:r w:rsidRPr="00AC01C1">
        <w:rPr>
          <w:rFonts w:ascii="Trebuchet MS" w:hAnsi="Trebuchet MS"/>
        </w:rPr>
        <w:t xml:space="preserve"> zamówień na dodatkowe dostawy, polegających na częściowej wymianie dostarczonych produktów lub instalacji albo zwiększeniu bieżących dostaw lub rozbudowie istniejących instalacji, a zmiana wykonawcy prowadziłaby do nabycia materiałów o innych właściwościach technicznych, co powodowałoby niekompatybilność techniczną lub nieproporcjonalnie duże trudności techniczne w użytkowaniu i utrzymaniu tych produktów lub instalacji,</w:t>
      </w:r>
    </w:p>
    <w:p w14:paraId="59EEC230" w14:textId="77777777" w:rsidR="00B468DD" w:rsidRPr="00AC01C1" w:rsidRDefault="00B468DD" w:rsidP="00242ACB">
      <w:pPr>
        <w:pStyle w:val="Akapitzlist"/>
        <w:numPr>
          <w:ilvl w:val="3"/>
          <w:numId w:val="25"/>
        </w:numPr>
        <w:spacing w:after="100" w:line="276" w:lineRule="auto"/>
        <w:ind w:left="426"/>
        <w:contextualSpacing w:val="0"/>
        <w:jc w:val="both"/>
        <w:rPr>
          <w:rFonts w:ascii="Trebuchet MS" w:hAnsi="Trebuchet MS"/>
        </w:rPr>
      </w:pPr>
      <w:r w:rsidRPr="00AC01C1">
        <w:rPr>
          <w:rFonts w:ascii="Trebuchet MS" w:hAnsi="Trebuchet MS"/>
        </w:rPr>
        <w:t>w przypadku zamówień, do których ma zastosowanie zasada konkurencyjności, ze względu na wyjątkową sytuację niewynikającą z przyczyn leżących po stronie zamawiającego, której wcześniej nie można było przewidzieć (np. klęski żywiołowe, katastrofy, awarie), wymagane jest natychmiastowe wykonanie zamówienia,</w:t>
      </w:r>
    </w:p>
    <w:p w14:paraId="379C8461" w14:textId="32A404B2" w:rsidR="00B468DD" w:rsidRPr="00AC01C1" w:rsidRDefault="001E03A0" w:rsidP="00242ACB">
      <w:pPr>
        <w:pStyle w:val="Akapitzlist"/>
        <w:numPr>
          <w:ilvl w:val="0"/>
          <w:numId w:val="4"/>
        </w:numPr>
        <w:spacing w:after="100" w:line="276" w:lineRule="auto"/>
        <w:ind w:left="426"/>
        <w:contextualSpacing w:val="0"/>
        <w:jc w:val="both"/>
        <w:rPr>
          <w:rFonts w:ascii="Trebuchet MS" w:hAnsi="Trebuchet MS"/>
        </w:rPr>
      </w:pPr>
      <w:r w:rsidRPr="00AC01C1">
        <w:rPr>
          <w:rFonts w:ascii="Trebuchet MS" w:hAnsi="Trebuchet MS"/>
        </w:rPr>
        <w:t xml:space="preserve">W celu uniknięcia konfliktu interesów: a) w przypadku beneficjenta, który nie jest zamawiającym w rozumieniu </w:t>
      </w:r>
      <w:r w:rsidR="00D50B9E" w:rsidRPr="00AC01C1">
        <w:rPr>
          <w:rFonts w:ascii="Trebuchet MS" w:hAnsi="Trebuchet MS"/>
        </w:rPr>
        <w:t>przepisów o zamówieniach publicznych</w:t>
      </w:r>
      <w:r w:rsidRPr="00AC01C1">
        <w:rPr>
          <w:rFonts w:ascii="Trebuchet MS" w:hAnsi="Trebuchet MS"/>
        </w:rPr>
        <w:t>, zamówienia nie mogą być udzielane podmiotom powiązanym z nim osobowo lub kapitałowo, z wyłączeniem przypadk</w:t>
      </w:r>
      <w:r w:rsidR="001F5ADA" w:rsidRPr="00AC01C1">
        <w:rPr>
          <w:rFonts w:ascii="Trebuchet MS" w:hAnsi="Trebuchet MS"/>
        </w:rPr>
        <w:t xml:space="preserve">u </w:t>
      </w:r>
      <w:r w:rsidRPr="00AC01C1">
        <w:rPr>
          <w:rFonts w:ascii="Trebuchet MS" w:hAnsi="Trebuchet MS"/>
        </w:rPr>
        <w:t xml:space="preserve">udzielanie zamówień podmiotom powiązanym za </w:t>
      </w:r>
      <w:r w:rsidR="001F5ADA" w:rsidRPr="00AC01C1">
        <w:rPr>
          <w:rFonts w:ascii="Trebuchet MS" w:hAnsi="Trebuchet MS"/>
        </w:rPr>
        <w:t xml:space="preserve">uprzednią pisemną </w:t>
      </w:r>
      <w:r w:rsidRPr="00AC01C1">
        <w:rPr>
          <w:rFonts w:ascii="Trebuchet MS" w:hAnsi="Trebuchet MS"/>
        </w:rPr>
        <w:t xml:space="preserve">zgodą Gminy, </w:t>
      </w:r>
      <w:r w:rsidR="001F5ADA" w:rsidRPr="00AC01C1">
        <w:rPr>
          <w:rFonts w:ascii="Trebuchet MS" w:hAnsi="Trebuchet MS"/>
        </w:rPr>
        <w:t xml:space="preserve">jeżeli </w:t>
      </w:r>
      <w:r w:rsidRPr="00AC01C1">
        <w:rPr>
          <w:rFonts w:ascii="Trebuchet MS" w:hAnsi="Trebuchet MS"/>
        </w:rPr>
        <w:t>umożliwienie podmiotowi powiązanemu wzięcia udziału w postępowaniu jest uzasadnione ze względu na specyfikę projektu lub typ beneficjenta, a wybór wykonawcy będącego podmiotem powiązanym będzie dokonany zgodnie z procedurą rozeznania rynku, b) osoby wykonujące w imieniu zamawiającego czynności związane z procedurą wyboru wykonawcy, w szczególności osoby biorące udział w procesie oceny ofert, nie mogą być powiązane osobowo lub kapitałowo z wykonawcami, którzy złożyli oferty oraz powinny być to osoby bezstronne i obiektywne.</w:t>
      </w:r>
    </w:p>
    <w:p w14:paraId="0A8F4805" w14:textId="77777777" w:rsidR="001E03A0" w:rsidRPr="00AC01C1" w:rsidRDefault="001E03A0" w:rsidP="00242ACB">
      <w:pPr>
        <w:pStyle w:val="Akapitzlist"/>
        <w:numPr>
          <w:ilvl w:val="0"/>
          <w:numId w:val="4"/>
        </w:numPr>
        <w:spacing w:after="100" w:line="276" w:lineRule="auto"/>
        <w:ind w:left="426"/>
        <w:contextualSpacing w:val="0"/>
        <w:jc w:val="both"/>
        <w:rPr>
          <w:rFonts w:ascii="Trebuchet MS" w:hAnsi="Trebuchet MS"/>
        </w:rPr>
      </w:pPr>
      <w:r w:rsidRPr="00AC01C1">
        <w:rPr>
          <w:rFonts w:ascii="Trebuchet MS" w:hAnsi="Trebuchet MS"/>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a) uczestniczeniu w spółce jako wspólnik spółki cywilnej lub spółki osobowej, b) posiadaniu co najmniej 10% udziałów lub akcji, o ile niższy próg nie wynika z przepisów prawa, c) pełnieniu funkcji członka organu nadzorczego lub zarządzającego, prokurenta, pełnomocnika, d) pozostawaniu w związku małżeńskim, w stosunku pokrewieństwa lub powinowactwa w linii prostej, pokrewieństwa drugiego stopnia lub </w:t>
      </w:r>
      <w:r w:rsidRPr="00AC01C1">
        <w:rPr>
          <w:rFonts w:ascii="Trebuchet MS" w:hAnsi="Trebuchet MS"/>
        </w:rPr>
        <w:lastRenderedPageBreak/>
        <w:t>powinowactwa drugiego stopnia w linii bocznej lub w stosunku przysposobienia, opieki lub kurateli.</w:t>
      </w:r>
    </w:p>
    <w:p w14:paraId="35CAA5EF" w14:textId="77777777" w:rsidR="00B468DD" w:rsidRPr="00AC01C1" w:rsidRDefault="00B468DD" w:rsidP="00242ACB">
      <w:pPr>
        <w:pStyle w:val="Akapitzlist"/>
        <w:numPr>
          <w:ilvl w:val="0"/>
          <w:numId w:val="4"/>
        </w:numPr>
        <w:spacing w:after="100" w:line="276" w:lineRule="auto"/>
        <w:ind w:left="426"/>
        <w:contextualSpacing w:val="0"/>
        <w:jc w:val="both"/>
        <w:rPr>
          <w:rFonts w:ascii="Trebuchet MS" w:hAnsi="Trebuchet MS"/>
        </w:rPr>
      </w:pPr>
      <w:r w:rsidRPr="00AC01C1">
        <w:rPr>
          <w:rFonts w:ascii="Trebuchet MS" w:hAnsi="Trebuchet MS"/>
        </w:rPr>
        <w:t>W przypadku naruszenia przez beneficjenta warunków i procedur postępowania o udzielenie zamówienia, Gmina uznaje całość lub część wydatków związanych z tym zamówieniem za niekwalifikowalne.</w:t>
      </w:r>
    </w:p>
    <w:p w14:paraId="3A4C8B8E" w14:textId="77777777" w:rsidR="001D343C" w:rsidRPr="00AC01C1" w:rsidRDefault="00D50B9E" w:rsidP="00242ACB">
      <w:pPr>
        <w:pStyle w:val="Akapitzlist"/>
        <w:numPr>
          <w:ilvl w:val="0"/>
          <w:numId w:val="4"/>
        </w:numPr>
        <w:spacing w:after="100" w:line="276" w:lineRule="auto"/>
        <w:ind w:left="426"/>
        <w:contextualSpacing w:val="0"/>
        <w:jc w:val="both"/>
        <w:rPr>
          <w:rFonts w:ascii="Trebuchet MS" w:hAnsi="Trebuchet MS"/>
        </w:rPr>
      </w:pPr>
      <w:r w:rsidRPr="00AC01C1">
        <w:rPr>
          <w:rFonts w:ascii="Trebuchet MS" w:hAnsi="Trebuchet MS"/>
        </w:rPr>
        <w:t>W</w:t>
      </w:r>
      <w:r w:rsidR="001D343C" w:rsidRPr="00AC01C1">
        <w:rPr>
          <w:rFonts w:ascii="Trebuchet MS" w:hAnsi="Trebuchet MS"/>
        </w:rPr>
        <w:t xml:space="preserve">ydatki kwalifikowalne ponoszone są na rzecz podmiotu (wykonawcy) będącego stroną umowy lub wskazanego w umowie dostawy, umowie o roboty budowlane lub umowie o świadczenie usług zawartej z beneficjentem jako zamawiającym. </w:t>
      </w:r>
      <w:r w:rsidR="0095613A" w:rsidRPr="00AC01C1">
        <w:rPr>
          <w:rFonts w:ascii="Trebuchet MS" w:hAnsi="Trebuchet MS"/>
        </w:rPr>
        <w:t xml:space="preserve">Wymagane jest zawarcie </w:t>
      </w:r>
      <w:r w:rsidR="001E03A0" w:rsidRPr="00AC01C1">
        <w:rPr>
          <w:rFonts w:ascii="Trebuchet MS" w:hAnsi="Trebuchet MS"/>
        </w:rPr>
        <w:t xml:space="preserve">pisemnej umowy z wykonawcą jest wymagane. W przypadku zamówień o wartości poniżej </w:t>
      </w:r>
      <w:r w:rsidR="0095613A" w:rsidRPr="00AC01C1">
        <w:rPr>
          <w:rFonts w:ascii="Trebuchet MS" w:hAnsi="Trebuchet MS"/>
        </w:rPr>
        <w:t>1</w:t>
      </w:r>
      <w:r w:rsidR="001E03A0" w:rsidRPr="00AC01C1">
        <w:rPr>
          <w:rFonts w:ascii="Trebuchet MS" w:hAnsi="Trebuchet MS"/>
        </w:rPr>
        <w:t xml:space="preserve">0 tys. PLN netto zawarcie pisemnej umowy z wykonawcą nie jest wymagane - w takim przypadku wystarczające jest potwierdzenie poniesienia wydatku w oparciu o fakturę, rachunek lub inny dokument księgowy o równoważnej wartości dowodowej. </w:t>
      </w:r>
    </w:p>
    <w:p w14:paraId="2592963D" w14:textId="77777777" w:rsidR="001D343C" w:rsidRPr="00AC01C1" w:rsidRDefault="001D343C" w:rsidP="00242ACB">
      <w:pPr>
        <w:pStyle w:val="Akapitzlist"/>
        <w:numPr>
          <w:ilvl w:val="0"/>
          <w:numId w:val="4"/>
        </w:numPr>
        <w:spacing w:after="100" w:line="276" w:lineRule="auto"/>
        <w:ind w:left="426"/>
        <w:contextualSpacing w:val="0"/>
        <w:jc w:val="both"/>
        <w:rPr>
          <w:rFonts w:ascii="Trebuchet MS" w:hAnsi="Trebuchet MS"/>
        </w:rPr>
      </w:pPr>
      <w:r w:rsidRPr="00AC01C1">
        <w:rPr>
          <w:rFonts w:ascii="Trebuchet MS" w:hAnsi="Trebuchet MS"/>
        </w:rPr>
        <w:t xml:space="preserve">Jeżeli beneficjent dokonuje bezpośredniej zapłaty wymagalnego wynagrodzenia przysługującego podwykonawcy lub dalszemu podwykonawcy, który zawarł zaakceptowaną przez beneficjenta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wydatki kwalifikowalne stanowią wówczas wyłącznie wynagrodzenie dotyczące należności powstałych: - po zaakceptowaniu przez beneficjenta umowy o podwykonawstwo, której przedmiotem są roboty budowlane lub, - po przedłożeniu beneficjentowi poświadczonej za zgodność z oryginałem kopii umowy o podwykonawstwo, której przedmiotem są dostawy lub usługi – bez odsetek, należnych podwykonawcy lub dalszemu podwykonawcy. </w:t>
      </w:r>
    </w:p>
    <w:p w14:paraId="039A58DD" w14:textId="77777777" w:rsidR="00BF4EE7" w:rsidRPr="00AC01C1" w:rsidRDefault="001D343C" w:rsidP="00242ACB">
      <w:pPr>
        <w:pStyle w:val="Akapitzlist"/>
        <w:numPr>
          <w:ilvl w:val="0"/>
          <w:numId w:val="4"/>
        </w:numPr>
        <w:spacing w:after="100" w:line="276" w:lineRule="auto"/>
        <w:ind w:left="426"/>
        <w:contextualSpacing w:val="0"/>
        <w:jc w:val="both"/>
        <w:rPr>
          <w:rFonts w:ascii="Trebuchet MS" w:hAnsi="Trebuchet MS"/>
        </w:rPr>
      </w:pPr>
      <w:r w:rsidRPr="00AC01C1">
        <w:rPr>
          <w:rFonts w:ascii="Trebuchet MS" w:hAnsi="Trebuchet MS"/>
        </w:rPr>
        <w:t>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w:t>
      </w:r>
    </w:p>
    <w:p w14:paraId="534FBA53" w14:textId="77777777" w:rsidR="001D343C" w:rsidRPr="00AC01C1" w:rsidRDefault="001D343C" w:rsidP="00242ACB">
      <w:pPr>
        <w:pStyle w:val="Akapitzlist"/>
        <w:numPr>
          <w:ilvl w:val="0"/>
          <w:numId w:val="4"/>
        </w:numPr>
        <w:spacing w:after="100" w:line="276" w:lineRule="auto"/>
        <w:ind w:left="426"/>
        <w:contextualSpacing w:val="0"/>
        <w:jc w:val="both"/>
        <w:rPr>
          <w:rFonts w:ascii="Trebuchet MS" w:hAnsi="Trebuchet MS"/>
        </w:rPr>
      </w:pPr>
      <w:r w:rsidRPr="00AC01C1">
        <w:rPr>
          <w:rFonts w:ascii="Trebuchet MS" w:hAnsi="Trebuchet MS"/>
        </w:rPr>
        <w:t xml:space="preserve">W przypadku zajęcia płatności na rzecz wykonawcy przez komornika wydatek poniesiony na rachunek płatniczy wskazany przez komornika może być kwalifikowalny, jeżeli został poniesiony zgodnie z pozostałymi warunkami dotyczącymi kwalifikowania wydatków. </w:t>
      </w:r>
    </w:p>
    <w:p w14:paraId="34ABEA27" w14:textId="77777777" w:rsidR="001D343C" w:rsidRPr="00AC01C1" w:rsidRDefault="001D343C" w:rsidP="00242ACB">
      <w:pPr>
        <w:pStyle w:val="Akapitzlist"/>
        <w:numPr>
          <w:ilvl w:val="0"/>
          <w:numId w:val="4"/>
        </w:numPr>
        <w:spacing w:after="100" w:line="276" w:lineRule="auto"/>
        <w:ind w:left="426"/>
        <w:contextualSpacing w:val="0"/>
        <w:jc w:val="both"/>
        <w:rPr>
          <w:rFonts w:ascii="Trebuchet MS" w:hAnsi="Trebuchet MS"/>
        </w:rPr>
      </w:pPr>
      <w:r w:rsidRPr="00AC01C1">
        <w:rPr>
          <w:rFonts w:ascii="Trebuchet MS" w:hAnsi="Trebuchet MS"/>
        </w:rPr>
        <w:t>W przypadku dokonania przez wykonawcę cesji wierzytelności na rzecz innego podmiotu, wydatki poniesione przez beneficjenta na rachunek płatniczy cesjonariusza mogą być uznane za kwalifikowalne, jeśli zostaną poniesione zgodnie z pozostałymi wymogami dotyczącymi kwalifikowania wydatków oraz pod warunkiem dokonania cesji zgodnie z prawem</w:t>
      </w:r>
      <w:r w:rsidR="0095613A" w:rsidRPr="00AC01C1">
        <w:rPr>
          <w:rFonts w:ascii="Trebuchet MS" w:hAnsi="Trebuchet MS"/>
        </w:rPr>
        <w:t xml:space="preserve"> i za uprzednią pisemną zgodą Gminy</w:t>
      </w:r>
      <w:r w:rsidR="00DD483F" w:rsidRPr="00AC01C1">
        <w:rPr>
          <w:rFonts w:ascii="Trebuchet MS" w:hAnsi="Trebuchet MS"/>
        </w:rPr>
        <w:t>.</w:t>
      </w:r>
    </w:p>
    <w:p w14:paraId="4242B881" w14:textId="77777777" w:rsidR="00DD483F" w:rsidRPr="00AC01C1" w:rsidRDefault="00DD483F" w:rsidP="00242ACB">
      <w:pPr>
        <w:pStyle w:val="Akapitzlist"/>
        <w:numPr>
          <w:ilvl w:val="0"/>
          <w:numId w:val="4"/>
        </w:numPr>
        <w:spacing w:after="100" w:line="276" w:lineRule="auto"/>
        <w:ind w:left="426"/>
        <w:contextualSpacing w:val="0"/>
        <w:jc w:val="both"/>
        <w:rPr>
          <w:rFonts w:ascii="Trebuchet MS" w:hAnsi="Trebuchet MS"/>
        </w:rPr>
      </w:pPr>
      <w:r w:rsidRPr="00AC01C1">
        <w:rPr>
          <w:rFonts w:ascii="Trebuchet MS" w:hAnsi="Trebuchet MS"/>
        </w:rPr>
        <w:t xml:space="preserve">W przypadku płatności dokonywanych z wykorzystaniem instytucji przekazu uregulowanej w </w:t>
      </w:r>
      <w:r w:rsidR="0095613A" w:rsidRPr="00AC01C1">
        <w:rPr>
          <w:rFonts w:ascii="Trebuchet MS" w:hAnsi="Trebuchet MS"/>
        </w:rPr>
        <w:t>np</w:t>
      </w:r>
      <w:r w:rsidRPr="00AC01C1">
        <w:rPr>
          <w:rFonts w:ascii="Trebuchet MS" w:hAnsi="Trebuchet MS"/>
        </w:rPr>
        <w:t>. 921</w:t>
      </w:r>
      <w:r w:rsidRPr="00AC01C1">
        <w:rPr>
          <w:rFonts w:ascii="Trebuchet MS" w:hAnsi="Trebuchet MS"/>
          <w:vertAlign w:val="superscript"/>
        </w:rPr>
        <w:t>1</w:t>
      </w:r>
      <w:r w:rsidRPr="00AC01C1">
        <w:rPr>
          <w:rFonts w:ascii="Trebuchet MS" w:hAnsi="Trebuchet MS"/>
        </w:rPr>
        <w:t xml:space="preserve"> i </w:t>
      </w:r>
      <w:r w:rsidR="0095613A" w:rsidRPr="00AC01C1">
        <w:rPr>
          <w:rFonts w:ascii="Trebuchet MS" w:hAnsi="Trebuchet MS"/>
        </w:rPr>
        <w:t>np</w:t>
      </w:r>
      <w:r w:rsidRPr="00AC01C1">
        <w:rPr>
          <w:rFonts w:ascii="Trebuchet MS" w:hAnsi="Trebuchet MS"/>
        </w:rPr>
        <w:t xml:space="preserve">. </w:t>
      </w:r>
      <w:r w:rsidR="0095613A" w:rsidRPr="00AC01C1">
        <w:rPr>
          <w:rFonts w:ascii="Trebuchet MS" w:hAnsi="Trebuchet MS"/>
        </w:rPr>
        <w:t>U</w:t>
      </w:r>
      <w:r w:rsidRPr="00AC01C1">
        <w:rPr>
          <w:rFonts w:ascii="Trebuchet MS" w:hAnsi="Trebuchet MS"/>
        </w:rPr>
        <w:t xml:space="preserve">stawy Kodeks cywilny na rachunek płatniczy podmiotu innego niż podmiot będący stroną umowy lub wskazanego w umowie w sprawie realizacji zamówienia w ramach projektu zawartej z beneficjentem, wydatek może być uznany za kwalifikowalny pod warunkiem zapewnienia zgodności z przepisami prawa, z pozostałymi wymogami dotyczącymi kwalifikowania wydatków (w tym z uwzględnieniem obowiązków w zakresie dokumentowania wydatków, jak </w:t>
      </w:r>
      <w:r w:rsidR="0095613A" w:rsidRPr="00AC01C1">
        <w:rPr>
          <w:rFonts w:ascii="Trebuchet MS" w:hAnsi="Trebuchet MS"/>
        </w:rPr>
        <w:t>np</w:t>
      </w:r>
      <w:r w:rsidRPr="00AC01C1">
        <w:rPr>
          <w:rFonts w:ascii="Trebuchet MS" w:hAnsi="Trebuchet MS"/>
        </w:rPr>
        <w:t>. zapewnienie właściwej ścieżki audytu)</w:t>
      </w:r>
      <w:r w:rsidR="0095613A" w:rsidRPr="00AC01C1">
        <w:rPr>
          <w:rFonts w:ascii="Trebuchet MS" w:hAnsi="Trebuchet MS"/>
        </w:rPr>
        <w:t xml:space="preserve"> i za uprzednią pisemną zgodą Gminy</w:t>
      </w:r>
      <w:r w:rsidRPr="00AC01C1">
        <w:rPr>
          <w:rFonts w:ascii="Trebuchet MS" w:hAnsi="Trebuchet MS"/>
        </w:rPr>
        <w:t>.</w:t>
      </w:r>
    </w:p>
    <w:p w14:paraId="14ACFAA4" w14:textId="77777777" w:rsidR="008D5BC5" w:rsidRPr="00AC01C1" w:rsidRDefault="008D5BC5" w:rsidP="00D907EB">
      <w:pPr>
        <w:spacing w:after="100" w:line="276" w:lineRule="auto"/>
        <w:jc w:val="center"/>
        <w:rPr>
          <w:rFonts w:ascii="Trebuchet MS" w:hAnsi="Trebuchet MS"/>
          <w:b/>
          <w:bCs/>
        </w:rPr>
      </w:pPr>
      <w:bookmarkStart w:id="12" w:name="_Hlk133854850"/>
      <w:r w:rsidRPr="00AC01C1">
        <w:rPr>
          <w:rFonts w:ascii="Trebuchet MS" w:hAnsi="Trebuchet MS"/>
          <w:b/>
          <w:bCs/>
        </w:rPr>
        <w:lastRenderedPageBreak/>
        <w:t xml:space="preserve">§ </w:t>
      </w:r>
      <w:r w:rsidR="00FD5BB2" w:rsidRPr="00AC01C1">
        <w:rPr>
          <w:rFonts w:ascii="Trebuchet MS" w:hAnsi="Trebuchet MS"/>
          <w:b/>
          <w:bCs/>
        </w:rPr>
        <w:t>8</w:t>
      </w:r>
    </w:p>
    <w:bookmarkEnd w:id="12"/>
    <w:p w14:paraId="4B182DE2" w14:textId="77777777" w:rsidR="008D5BC5" w:rsidRPr="00AC01C1" w:rsidRDefault="008D5BC5" w:rsidP="00242ACB">
      <w:pPr>
        <w:pStyle w:val="Akapitzlist"/>
        <w:numPr>
          <w:ilvl w:val="0"/>
          <w:numId w:val="5"/>
        </w:numPr>
        <w:spacing w:after="100" w:line="276" w:lineRule="auto"/>
        <w:contextualSpacing w:val="0"/>
        <w:jc w:val="both"/>
        <w:rPr>
          <w:rFonts w:ascii="Trebuchet MS" w:hAnsi="Trebuchet MS"/>
        </w:rPr>
      </w:pPr>
      <w:r w:rsidRPr="00AC01C1">
        <w:rPr>
          <w:rFonts w:ascii="Trebuchet MS" w:hAnsi="Trebuchet MS"/>
        </w:rPr>
        <w:t>Leasing jest wydatkiem kwalifikowanym na zasadach określonych w</w:t>
      </w:r>
      <w:r w:rsidR="004560CC" w:rsidRPr="00AC01C1">
        <w:rPr>
          <w:rFonts w:ascii="Trebuchet MS" w:hAnsi="Trebuchet MS"/>
        </w:rPr>
        <w:t xml:space="preserve"> §4 ust. </w:t>
      </w:r>
      <w:r w:rsidR="0095613A" w:rsidRPr="00AC01C1">
        <w:rPr>
          <w:rFonts w:ascii="Trebuchet MS" w:hAnsi="Trebuchet MS"/>
        </w:rPr>
        <w:t>8</w:t>
      </w:r>
      <w:r w:rsidRPr="00AC01C1">
        <w:rPr>
          <w:rFonts w:ascii="Trebuchet MS" w:hAnsi="Trebuchet MS"/>
        </w:rPr>
        <w:t xml:space="preserve">. </w:t>
      </w:r>
    </w:p>
    <w:p w14:paraId="79A51BCD" w14:textId="77777777" w:rsidR="008D5BC5" w:rsidRPr="00AC01C1" w:rsidRDefault="008D5BC5" w:rsidP="00242ACB">
      <w:pPr>
        <w:pStyle w:val="Akapitzlist"/>
        <w:numPr>
          <w:ilvl w:val="0"/>
          <w:numId w:val="5"/>
        </w:numPr>
        <w:spacing w:after="100" w:line="276" w:lineRule="auto"/>
        <w:contextualSpacing w:val="0"/>
        <w:jc w:val="both"/>
        <w:rPr>
          <w:rFonts w:ascii="Trebuchet MS" w:hAnsi="Trebuchet MS"/>
        </w:rPr>
      </w:pPr>
      <w:r w:rsidRPr="00AC01C1">
        <w:rPr>
          <w:rFonts w:ascii="Trebuchet MS" w:hAnsi="Trebuchet MS"/>
        </w:rPr>
        <w:t>Za niekwalifikowalne uznaje się wydatki związane z umową leasingu poniesione na: a) podatek związany z umową leasingu, b) marżę finansującego, c) odsetki od refinansowania kosztów, d) pokrycie kosztów pośrednich, e) opłaty ubezpieczeniowe.</w:t>
      </w:r>
    </w:p>
    <w:p w14:paraId="4E288C78" w14:textId="77777777" w:rsidR="008D5BC5" w:rsidRPr="00AC01C1" w:rsidRDefault="008D5BC5" w:rsidP="00D907EB">
      <w:pPr>
        <w:spacing w:after="100" w:line="276" w:lineRule="auto"/>
        <w:jc w:val="center"/>
        <w:rPr>
          <w:rFonts w:ascii="Trebuchet MS" w:hAnsi="Trebuchet MS"/>
          <w:b/>
          <w:bCs/>
        </w:rPr>
      </w:pPr>
      <w:bookmarkStart w:id="13" w:name="_Hlk133854982"/>
      <w:r w:rsidRPr="00AC01C1">
        <w:rPr>
          <w:rFonts w:ascii="Trebuchet MS" w:hAnsi="Trebuchet MS"/>
          <w:b/>
          <w:bCs/>
        </w:rPr>
        <w:t xml:space="preserve">§ </w:t>
      </w:r>
      <w:r w:rsidR="004560CC" w:rsidRPr="00AC01C1">
        <w:rPr>
          <w:rFonts w:ascii="Trebuchet MS" w:hAnsi="Trebuchet MS"/>
          <w:b/>
          <w:bCs/>
        </w:rPr>
        <w:t>9</w:t>
      </w:r>
    </w:p>
    <w:bookmarkEnd w:id="13"/>
    <w:p w14:paraId="04A1C152" w14:textId="77777777" w:rsidR="00A20F63" w:rsidRPr="00AC01C1" w:rsidRDefault="00A20F63" w:rsidP="00242ACB">
      <w:pPr>
        <w:pStyle w:val="Akapitzlist"/>
        <w:numPr>
          <w:ilvl w:val="0"/>
          <w:numId w:val="6"/>
        </w:numPr>
        <w:spacing w:after="100" w:line="276" w:lineRule="auto"/>
        <w:ind w:left="426"/>
        <w:contextualSpacing w:val="0"/>
        <w:jc w:val="both"/>
        <w:rPr>
          <w:rFonts w:ascii="Trebuchet MS" w:hAnsi="Trebuchet MS"/>
        </w:rPr>
      </w:pPr>
      <w:r w:rsidRPr="00AC01C1">
        <w:rPr>
          <w:rFonts w:ascii="Trebuchet MS" w:hAnsi="Trebuchet MS"/>
        </w:rPr>
        <w:t xml:space="preserve">Podatki i inne opłaty, w szczególności podatek VAT, mogą być uznane za wydatki kwalifikowalne tylko wtedy, gdy brak jest prawnej możliwości ich odzyskania na mocy prawodawstwa krajowego. </w:t>
      </w:r>
    </w:p>
    <w:p w14:paraId="4C822594" w14:textId="77777777" w:rsidR="00FE2CC5" w:rsidRPr="00AC01C1" w:rsidRDefault="00A20F63" w:rsidP="00242ACB">
      <w:pPr>
        <w:pStyle w:val="Akapitzlist"/>
        <w:numPr>
          <w:ilvl w:val="0"/>
          <w:numId w:val="6"/>
        </w:numPr>
        <w:spacing w:after="100" w:line="276" w:lineRule="auto"/>
        <w:ind w:left="426"/>
        <w:contextualSpacing w:val="0"/>
        <w:jc w:val="both"/>
        <w:rPr>
          <w:rFonts w:ascii="Trebuchet MS" w:hAnsi="Trebuchet MS"/>
        </w:rPr>
      </w:pPr>
      <w:r w:rsidRPr="00AC01C1">
        <w:rPr>
          <w:rFonts w:ascii="Trebuchet MS" w:hAnsi="Trebuchet MS"/>
        </w:rPr>
        <w:t>Warunek określony w ust. 1 oznacza, iż zapłacony podatek VAT może być uznany za wydatek kwalifikowalny wyłącznie wówczas, gdy beneficjentowi ani żadnemu innemu podmiotowi zaangażowanemu w projekt lub wykorzystującemu do działalności opodatkowanej produkty będące efektem realizacji projektu, zarówno</w:t>
      </w:r>
      <w:r w:rsidR="00FE2CC5" w:rsidRPr="00AC01C1">
        <w:rPr>
          <w:rFonts w:ascii="Trebuchet MS" w:hAnsi="Trebuchet MS"/>
        </w:rPr>
        <w:t xml:space="preserve">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 </w:t>
      </w:r>
    </w:p>
    <w:p w14:paraId="37E880D9" w14:textId="77777777" w:rsidR="00A20F63" w:rsidRPr="00AC01C1" w:rsidRDefault="00FE2CC5" w:rsidP="00242ACB">
      <w:pPr>
        <w:pStyle w:val="Akapitzlist"/>
        <w:numPr>
          <w:ilvl w:val="0"/>
          <w:numId w:val="6"/>
        </w:numPr>
        <w:spacing w:after="100" w:line="276" w:lineRule="auto"/>
        <w:ind w:left="426"/>
        <w:contextualSpacing w:val="0"/>
        <w:jc w:val="both"/>
        <w:rPr>
          <w:rFonts w:ascii="Trebuchet MS" w:hAnsi="Trebuchet MS"/>
        </w:rPr>
      </w:pPr>
      <w:r w:rsidRPr="00AC01C1">
        <w:rPr>
          <w:rFonts w:ascii="Trebuchet MS" w:hAnsi="Trebuchet MS"/>
        </w:rPr>
        <w:t>Za posiadanie prawa do obniżenia kwoty podatku należnego o kwotę podatku naliczonego, o którym mowa w pkt 2, nie uznaje się możliwości określonej w art. 113 ustawy o VAT</w:t>
      </w:r>
    </w:p>
    <w:p w14:paraId="6DA3D5C1" w14:textId="77777777" w:rsidR="008D5BC5" w:rsidRPr="00AC01C1" w:rsidRDefault="00A20F63" w:rsidP="00242ACB">
      <w:pPr>
        <w:pStyle w:val="Akapitzlist"/>
        <w:numPr>
          <w:ilvl w:val="0"/>
          <w:numId w:val="6"/>
        </w:numPr>
        <w:spacing w:after="100" w:line="276" w:lineRule="auto"/>
        <w:ind w:left="426"/>
        <w:contextualSpacing w:val="0"/>
        <w:jc w:val="both"/>
        <w:rPr>
          <w:rFonts w:ascii="Trebuchet MS" w:hAnsi="Trebuchet MS"/>
        </w:rPr>
      </w:pPr>
      <w:r w:rsidRPr="00AC01C1">
        <w:rPr>
          <w:rFonts w:ascii="Trebuchet MS" w:hAnsi="Trebuchet MS"/>
        </w:rPr>
        <w:t xml:space="preserve">Gmina </w:t>
      </w:r>
      <w:r w:rsidR="008D5BC5" w:rsidRPr="00AC01C1">
        <w:rPr>
          <w:rFonts w:ascii="Trebuchet MS" w:hAnsi="Trebuchet MS"/>
        </w:rPr>
        <w:t>nie dopuszcza możliwości kwalifikowania podatku VAT w stosunku do wydatków, dla których beneficjent odlicza ten podatek częściowo wg proporcji ustalonej zgodnie z art. 90 ust. 2 ustawy o VAT.</w:t>
      </w:r>
    </w:p>
    <w:p w14:paraId="414C2D8C" w14:textId="77777777" w:rsidR="00FE2CC5" w:rsidRPr="00AC01C1" w:rsidRDefault="00FE2CC5" w:rsidP="00242ACB">
      <w:pPr>
        <w:pStyle w:val="Akapitzlist"/>
        <w:numPr>
          <w:ilvl w:val="0"/>
          <w:numId w:val="6"/>
        </w:numPr>
        <w:spacing w:after="100" w:line="276" w:lineRule="auto"/>
        <w:ind w:left="426"/>
        <w:contextualSpacing w:val="0"/>
        <w:jc w:val="both"/>
        <w:rPr>
          <w:rFonts w:ascii="Trebuchet MS" w:hAnsi="Trebuchet MS"/>
        </w:rPr>
      </w:pPr>
      <w:r w:rsidRPr="00AC01C1">
        <w:rPr>
          <w:rFonts w:ascii="Trebuchet MS" w:hAnsi="Trebuchet MS"/>
        </w:rPr>
        <w:t xml:space="preserve">Beneficjent, który zaliczy VAT do wydatków kwalifikowalnych, zobowiązany jest dołączyć do wniosku o dofinansowanie projektu „Oświadczenie o kwalifikowalności VAT”. Oświadczenie składa się z dwóch integralnych części. W ramach pierwszej części beneficjent oświadcza, iż w chwili składania wniosku o dofinansowanie projektu nie może odzyskać w żaden sposób poniesionego kosztu VAT, którego wysokość została określona w odpowiednim punkcie wniosku o dofinansowanie projektu (fakt ten decyduje o kwalifikowalności VAT). Natomiast w części drugiej beneficjent zobowiązuje się do zwrotu zrefundowanej </w:t>
      </w:r>
      <w:r w:rsidR="0095613A" w:rsidRPr="00AC01C1">
        <w:rPr>
          <w:rFonts w:ascii="Trebuchet MS" w:hAnsi="Trebuchet MS"/>
        </w:rPr>
        <w:t xml:space="preserve">z dotacji celowej </w:t>
      </w:r>
      <w:r w:rsidRPr="00AC01C1">
        <w:rPr>
          <w:rFonts w:ascii="Trebuchet MS" w:hAnsi="Trebuchet MS"/>
        </w:rPr>
        <w:t>części VAT, jeżeli zaistnieją przesłanki umożliwiające odzyskanie tego podatku. „Oświadczenie o kwalifikowalności VAT” podpisane przez beneficjenta powinno stanowić załącznik do zawieranej z beneficjentem umowy o dofinansowanie projektu.</w:t>
      </w:r>
    </w:p>
    <w:p w14:paraId="227C2502" w14:textId="77777777" w:rsidR="00D16786" w:rsidRPr="00921013" w:rsidRDefault="00D16786" w:rsidP="00D907EB">
      <w:pPr>
        <w:spacing w:after="100" w:line="276" w:lineRule="auto"/>
        <w:ind w:left="66"/>
        <w:jc w:val="both"/>
        <w:rPr>
          <w:rFonts w:ascii="Trebuchet MS" w:hAnsi="Trebuchet MS"/>
        </w:rPr>
      </w:pPr>
    </w:p>
    <w:sectPr w:rsidR="00D16786" w:rsidRPr="00921013" w:rsidSect="003C53DA">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C6E1" w14:textId="77777777" w:rsidR="0020479A" w:rsidRDefault="0020479A" w:rsidP="00C76614">
      <w:pPr>
        <w:spacing w:after="0" w:line="240" w:lineRule="auto"/>
      </w:pPr>
      <w:r>
        <w:separator/>
      </w:r>
    </w:p>
  </w:endnote>
  <w:endnote w:type="continuationSeparator" w:id="0">
    <w:p w14:paraId="4A88046F" w14:textId="77777777" w:rsidR="0020479A" w:rsidRDefault="0020479A" w:rsidP="00C7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C26F" w14:textId="77777777" w:rsidR="0020479A" w:rsidRDefault="0020479A" w:rsidP="00C76614">
      <w:pPr>
        <w:spacing w:after="0" w:line="240" w:lineRule="auto"/>
      </w:pPr>
      <w:r>
        <w:separator/>
      </w:r>
    </w:p>
  </w:footnote>
  <w:footnote w:type="continuationSeparator" w:id="0">
    <w:p w14:paraId="1F893037" w14:textId="77777777" w:rsidR="0020479A" w:rsidRDefault="0020479A" w:rsidP="00C76614">
      <w:pPr>
        <w:spacing w:after="0" w:line="240" w:lineRule="auto"/>
      </w:pPr>
      <w:r>
        <w:continuationSeparator/>
      </w:r>
    </w:p>
  </w:footnote>
  <w:footnote w:id="1">
    <w:p w14:paraId="71B726D8" w14:textId="77777777" w:rsidR="00C76614" w:rsidRDefault="00C76614" w:rsidP="00C76614">
      <w:pPr>
        <w:pStyle w:val="Tekstprzypisudolnego"/>
        <w:jc w:val="both"/>
      </w:pPr>
      <w:r>
        <w:rPr>
          <w:rStyle w:val="Odwoanieprzypisudolnego"/>
        </w:rPr>
        <w:footnoteRef/>
      </w:r>
      <w:r>
        <w:t xml:space="preserve"> </w:t>
      </w:r>
      <w:r w:rsidRPr="00C76614">
        <w:rPr>
          <w:rFonts w:ascii="Trebuchet MS" w:hAnsi="Trebuchet MS"/>
          <w:sz w:val="16"/>
          <w:szCs w:val="16"/>
        </w:rPr>
        <w:t>W przypadku udzielania pomocy na sieci szerokopasmowe, w przypadku gdy na operatorze ciążą pewne zobowiązania do objęcia zasięgiem sieci pewnego obszaru docelowego, taki operator nie może kwalifikować się do pomocy państwa, ponieważ najprawdopodobniej nie będzie ona spełniać ona efektu zachęty. Może tak być na przykład w przypadku operatorów sieci ruchomej typu LTE (ang. long-term evolution) lub LTE Advanced, którzy w swoich warunkach licencji mają wyznaczone cele związane z zasięgiem na obszarze docelowym. Podobnie, jeżeli operator wyznaczony zgodnie z obowiązkiem w zakresie usługi publicznej otrzymuje rekompensatę z tytułu usługi publicznej, nie można udzielić żadnej dodatkowej pomocy państwa na finansowanie tej samej sieci.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45EF" w14:textId="77777777" w:rsidR="003C53DA" w:rsidRDefault="003C53DA">
    <w:pPr>
      <w:pStyle w:val="Nagwek"/>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5A80" w14:textId="355B6513" w:rsidR="003C53DA" w:rsidRDefault="00E6059A">
    <w:pPr>
      <w:pStyle w:val="Nagwek"/>
    </w:pPr>
    <w:r w:rsidRPr="00BC5E49">
      <w:rPr>
        <w:noProof/>
        <w:lang w:eastAsia="pl-PL"/>
      </w:rPr>
      <w:drawing>
        <wp:inline distT="0" distB="0" distL="0" distR="0" wp14:anchorId="5C564946" wp14:editId="28146C16">
          <wp:extent cx="1082040" cy="52578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25780"/>
                  </a:xfrm>
                  <a:prstGeom prst="rect">
                    <a:avLst/>
                  </a:prstGeom>
                  <a:noFill/>
                  <a:ln>
                    <a:noFill/>
                  </a:ln>
                </pic:spPr>
              </pic:pic>
            </a:graphicData>
          </a:graphic>
        </wp:inline>
      </w:drawing>
    </w:r>
    <w:r w:rsidR="003C53DA">
      <w:tab/>
    </w:r>
    <w:r w:rsidR="003C53DA">
      <w:tab/>
    </w:r>
    <w:r w:rsidR="00E25C72">
      <w:rPr>
        <w:noProof/>
      </w:rPr>
      <w:drawing>
        <wp:inline distT="0" distB="0" distL="0" distR="0" wp14:anchorId="0E414A92" wp14:editId="54BA4B87">
          <wp:extent cx="1447800" cy="552450"/>
          <wp:effectExtent l="0" t="0" r="0" b="0"/>
          <wp:docPr id="2103898844" name="Obraz 1" descr="Gmina Miedzich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Miedzichow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321"/>
    <w:multiLevelType w:val="hybridMultilevel"/>
    <w:tmpl w:val="AF90B79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8D2354"/>
    <w:multiLevelType w:val="hybridMultilevel"/>
    <w:tmpl w:val="B9929526"/>
    <w:lvl w:ilvl="0" w:tplc="E6ACD6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B1587"/>
    <w:multiLevelType w:val="hybridMultilevel"/>
    <w:tmpl w:val="899C8B80"/>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0415000F">
      <w:start w:val="1"/>
      <w:numFmt w:val="decimal"/>
      <w:lvlText w:val="%3."/>
      <w:lvlJc w:val="left"/>
      <w:pPr>
        <w:ind w:left="426" w:hanging="360"/>
      </w:pPr>
    </w:lvl>
    <w:lvl w:ilvl="3" w:tplc="FFFFFFFF">
      <w:start w:val="1"/>
      <w:numFmt w:val="decimal"/>
      <w:lvlText w:val="%4)"/>
      <w:lvlJc w:val="left"/>
      <w:pPr>
        <w:ind w:left="3306" w:hanging="360"/>
      </w:pPr>
      <w:rPr>
        <w:rFonts w:hint="default"/>
      </w:r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065A5874"/>
    <w:multiLevelType w:val="hybridMultilevel"/>
    <w:tmpl w:val="0174F65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3D5855"/>
    <w:multiLevelType w:val="hybridMultilevel"/>
    <w:tmpl w:val="44E8D9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B0333F"/>
    <w:multiLevelType w:val="hybridMultilevel"/>
    <w:tmpl w:val="15384D1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D225B4"/>
    <w:multiLevelType w:val="hybridMultilevel"/>
    <w:tmpl w:val="A4221BF8"/>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04150017">
      <w:start w:val="1"/>
      <w:numFmt w:val="lowerLetter"/>
      <w:lvlText w:val="%3)"/>
      <w:lvlJc w:val="left"/>
      <w:pPr>
        <w:ind w:left="2340" w:hanging="36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224D2BA2"/>
    <w:multiLevelType w:val="hybridMultilevel"/>
    <w:tmpl w:val="2332A1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DE4D3D"/>
    <w:multiLevelType w:val="hybridMultilevel"/>
    <w:tmpl w:val="361A01E8"/>
    <w:lvl w:ilvl="0" w:tplc="0415000F">
      <w:start w:val="1"/>
      <w:numFmt w:val="decimal"/>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9" w15:restartNumberingAfterBreak="0">
    <w:nsid w:val="27EA739E"/>
    <w:multiLevelType w:val="hybridMultilevel"/>
    <w:tmpl w:val="704EE8B4"/>
    <w:lvl w:ilvl="0" w:tplc="4D7E5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946E5D"/>
    <w:multiLevelType w:val="hybridMultilevel"/>
    <w:tmpl w:val="6E4830E8"/>
    <w:lvl w:ilvl="0" w:tplc="0A1C16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14311E"/>
    <w:multiLevelType w:val="hybridMultilevel"/>
    <w:tmpl w:val="5BA8A7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9D39FE"/>
    <w:multiLevelType w:val="hybridMultilevel"/>
    <w:tmpl w:val="F782D26C"/>
    <w:lvl w:ilvl="0" w:tplc="CB04D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006C4A"/>
    <w:multiLevelType w:val="hybridMultilevel"/>
    <w:tmpl w:val="62B2A286"/>
    <w:lvl w:ilvl="0" w:tplc="84D441DA">
      <w:start w:val="7"/>
      <w:numFmt w:val="lowerLetter"/>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E3584"/>
    <w:multiLevelType w:val="hybridMultilevel"/>
    <w:tmpl w:val="83BA0B5C"/>
    <w:lvl w:ilvl="0" w:tplc="53462724">
      <w:start w:val="4"/>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E01139"/>
    <w:multiLevelType w:val="hybridMultilevel"/>
    <w:tmpl w:val="E4C04DD8"/>
    <w:lvl w:ilvl="0" w:tplc="0415000F">
      <w:start w:val="1"/>
      <w:numFmt w:val="decimal"/>
      <w:lvlText w:val="%1."/>
      <w:lvlJc w:val="left"/>
      <w:pPr>
        <w:ind w:left="720" w:hanging="360"/>
      </w:pPr>
    </w:lvl>
    <w:lvl w:ilvl="1" w:tplc="EDF459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E152D5"/>
    <w:multiLevelType w:val="hybridMultilevel"/>
    <w:tmpl w:val="32D46866"/>
    <w:lvl w:ilvl="0" w:tplc="FFFFFFFF">
      <w:start w:val="1"/>
      <w:numFmt w:val="lowerLetter"/>
      <w:lvlText w:val="%1)"/>
      <w:lvlJc w:val="left"/>
      <w:pPr>
        <w:ind w:left="1145" w:hanging="360"/>
      </w:pPr>
    </w:lvl>
    <w:lvl w:ilvl="1" w:tplc="04150017">
      <w:start w:val="1"/>
      <w:numFmt w:val="lowerLetter"/>
      <w:lvlText w:val="%2)"/>
      <w:lvlJc w:val="left"/>
      <w:pPr>
        <w:ind w:left="1866"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7" w15:restartNumberingAfterBreak="0">
    <w:nsid w:val="4B9E2B3B"/>
    <w:multiLevelType w:val="hybridMultilevel"/>
    <w:tmpl w:val="8B4097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FD5CC2"/>
    <w:multiLevelType w:val="hybridMultilevel"/>
    <w:tmpl w:val="630C61C2"/>
    <w:lvl w:ilvl="0" w:tplc="A6908C32">
      <w:start w:val="1"/>
      <w:numFmt w:val="decimal"/>
      <w:lvlText w:val="%1)"/>
      <w:lvlJc w:val="left"/>
      <w:pPr>
        <w:ind w:left="720" w:hanging="360"/>
      </w:pPr>
      <w:rPr>
        <w:rFonts w:hint="default"/>
      </w:rPr>
    </w:lvl>
    <w:lvl w:ilvl="1" w:tplc="D3F29F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CE7BB5"/>
    <w:multiLevelType w:val="hybridMultilevel"/>
    <w:tmpl w:val="B64AB5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DD5C3F"/>
    <w:multiLevelType w:val="hybridMultilevel"/>
    <w:tmpl w:val="83361BB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4E8CA4A8">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6B689E"/>
    <w:multiLevelType w:val="hybridMultilevel"/>
    <w:tmpl w:val="FFFADB6C"/>
    <w:lvl w:ilvl="0" w:tplc="D2EE92E6">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15:restartNumberingAfterBreak="0">
    <w:nsid w:val="6B6A178F"/>
    <w:multiLevelType w:val="hybridMultilevel"/>
    <w:tmpl w:val="0EDAFDE4"/>
    <w:lvl w:ilvl="0" w:tplc="15F25272">
      <w:start w:val="6"/>
      <w:numFmt w:val="lowerLetter"/>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CE42D2"/>
    <w:multiLevelType w:val="hybridMultilevel"/>
    <w:tmpl w:val="7E3662E8"/>
    <w:lvl w:ilvl="0" w:tplc="D3285F1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 w15:restartNumberingAfterBreak="0">
    <w:nsid w:val="7928524D"/>
    <w:multiLevelType w:val="hybridMultilevel"/>
    <w:tmpl w:val="8710FB86"/>
    <w:lvl w:ilvl="0" w:tplc="FFFFFFFF">
      <w:start w:val="1"/>
      <w:numFmt w:val="lowerLetter"/>
      <w:lvlText w:val="%1)"/>
      <w:lvlJc w:val="left"/>
      <w:pPr>
        <w:ind w:left="720" w:hanging="360"/>
      </w:pPr>
    </w:lvl>
    <w:lvl w:ilvl="1" w:tplc="04150017">
      <w:start w:val="1"/>
      <w:numFmt w:val="lowerLetter"/>
      <w:lvlText w:val="%2)"/>
      <w:lvlJc w:val="left"/>
      <w:pPr>
        <w:ind w:left="186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473FF7"/>
    <w:multiLevelType w:val="hybridMultilevel"/>
    <w:tmpl w:val="C8DC275A"/>
    <w:lvl w:ilvl="0" w:tplc="FFFFFFFF">
      <w:start w:val="1"/>
      <w:numFmt w:val="lowerLetter"/>
      <w:lvlText w:val="%1)"/>
      <w:lvlJc w:val="left"/>
      <w:pPr>
        <w:ind w:left="1146" w:hanging="360"/>
      </w:pPr>
    </w:lvl>
    <w:lvl w:ilvl="1" w:tplc="04150017">
      <w:start w:val="1"/>
      <w:numFmt w:val="lowerLetter"/>
      <w:lvlText w:val="%2)"/>
      <w:lvlJc w:val="left"/>
      <w:pPr>
        <w:ind w:left="1866" w:hanging="360"/>
      </w:pPr>
    </w:lvl>
    <w:lvl w:ilvl="2" w:tplc="516E7236">
      <w:start w:val="1"/>
      <w:numFmt w:val="decimal"/>
      <w:lvlText w:val="%3."/>
      <w:lvlJc w:val="left"/>
      <w:pPr>
        <w:ind w:left="2766" w:hanging="360"/>
      </w:pPr>
      <w:rPr>
        <w:rFonts w:hint="default"/>
      </w:rPr>
    </w:lvl>
    <w:lvl w:ilvl="3" w:tplc="FE9EA72C">
      <w:start w:val="1"/>
      <w:numFmt w:val="decimal"/>
      <w:lvlText w:val="%4)"/>
      <w:lvlJc w:val="left"/>
      <w:pPr>
        <w:ind w:left="3306" w:hanging="360"/>
      </w:pPr>
      <w:rPr>
        <w:rFonts w:hint="default"/>
      </w:r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174346264">
    <w:abstractNumId w:val="18"/>
  </w:num>
  <w:num w:numId="2" w16cid:durableId="1967810202">
    <w:abstractNumId w:val="25"/>
  </w:num>
  <w:num w:numId="3" w16cid:durableId="2050106505">
    <w:abstractNumId w:val="23"/>
  </w:num>
  <w:num w:numId="4" w16cid:durableId="1154833187">
    <w:abstractNumId w:val="10"/>
  </w:num>
  <w:num w:numId="5" w16cid:durableId="251207337">
    <w:abstractNumId w:val="21"/>
  </w:num>
  <w:num w:numId="6" w16cid:durableId="2118862011">
    <w:abstractNumId w:val="12"/>
  </w:num>
  <w:num w:numId="7" w16cid:durableId="1937903369">
    <w:abstractNumId w:val="9"/>
  </w:num>
  <w:num w:numId="8" w16cid:durableId="2020890599">
    <w:abstractNumId w:val="14"/>
  </w:num>
  <w:num w:numId="9" w16cid:durableId="1985312000">
    <w:abstractNumId w:val="15"/>
  </w:num>
  <w:num w:numId="10" w16cid:durableId="1239248523">
    <w:abstractNumId w:val="0"/>
  </w:num>
  <w:num w:numId="11" w16cid:durableId="502935699">
    <w:abstractNumId w:val="20"/>
  </w:num>
  <w:num w:numId="12" w16cid:durableId="653024342">
    <w:abstractNumId w:val="19"/>
  </w:num>
  <w:num w:numId="13" w16cid:durableId="635066497">
    <w:abstractNumId w:val="11"/>
  </w:num>
  <w:num w:numId="14" w16cid:durableId="72776280">
    <w:abstractNumId w:val="5"/>
  </w:num>
  <w:num w:numId="15" w16cid:durableId="1473792960">
    <w:abstractNumId w:val="4"/>
  </w:num>
  <w:num w:numId="16" w16cid:durableId="1009408061">
    <w:abstractNumId w:val="17"/>
  </w:num>
  <w:num w:numId="17" w16cid:durableId="1942569768">
    <w:abstractNumId w:val="7"/>
  </w:num>
  <w:num w:numId="18" w16cid:durableId="709957765">
    <w:abstractNumId w:val="3"/>
  </w:num>
  <w:num w:numId="19" w16cid:durableId="1624573420">
    <w:abstractNumId w:val="1"/>
  </w:num>
  <w:num w:numId="20" w16cid:durableId="1594169763">
    <w:abstractNumId w:val="8"/>
  </w:num>
  <w:num w:numId="21" w16cid:durableId="756905381">
    <w:abstractNumId w:val="16"/>
  </w:num>
  <w:num w:numId="22" w16cid:durableId="36971089">
    <w:abstractNumId w:val="22"/>
  </w:num>
  <w:num w:numId="23" w16cid:durableId="1177233116">
    <w:abstractNumId w:val="13"/>
  </w:num>
  <w:num w:numId="24" w16cid:durableId="1866626051">
    <w:abstractNumId w:val="24"/>
  </w:num>
  <w:num w:numId="25" w16cid:durableId="1882983766">
    <w:abstractNumId w:val="2"/>
  </w:num>
  <w:num w:numId="26" w16cid:durableId="99858036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0E"/>
    <w:rsid w:val="00005579"/>
    <w:rsid w:val="00017EE5"/>
    <w:rsid w:val="000254E7"/>
    <w:rsid w:val="0003662F"/>
    <w:rsid w:val="00064A1E"/>
    <w:rsid w:val="000A4028"/>
    <w:rsid w:val="000F17A1"/>
    <w:rsid w:val="00116291"/>
    <w:rsid w:val="00121431"/>
    <w:rsid w:val="00122146"/>
    <w:rsid w:val="001512A1"/>
    <w:rsid w:val="001A5791"/>
    <w:rsid w:val="001D343C"/>
    <w:rsid w:val="001E03A0"/>
    <w:rsid w:val="001E1FEE"/>
    <w:rsid w:val="001F5ADA"/>
    <w:rsid w:val="0020479A"/>
    <w:rsid w:val="0021029D"/>
    <w:rsid w:val="0022085C"/>
    <w:rsid w:val="002427C8"/>
    <w:rsid w:val="00242ACB"/>
    <w:rsid w:val="00245954"/>
    <w:rsid w:val="00250699"/>
    <w:rsid w:val="00271E9D"/>
    <w:rsid w:val="0027475E"/>
    <w:rsid w:val="0029021E"/>
    <w:rsid w:val="0029346B"/>
    <w:rsid w:val="002A471B"/>
    <w:rsid w:val="002D3C64"/>
    <w:rsid w:val="002E08C1"/>
    <w:rsid w:val="00366E23"/>
    <w:rsid w:val="00387118"/>
    <w:rsid w:val="00390FE9"/>
    <w:rsid w:val="003C53DA"/>
    <w:rsid w:val="003F3FAC"/>
    <w:rsid w:val="004552C6"/>
    <w:rsid w:val="004560CC"/>
    <w:rsid w:val="004803BA"/>
    <w:rsid w:val="004B4785"/>
    <w:rsid w:val="004C0DE3"/>
    <w:rsid w:val="00514101"/>
    <w:rsid w:val="00525D30"/>
    <w:rsid w:val="00563B29"/>
    <w:rsid w:val="005754A3"/>
    <w:rsid w:val="00611017"/>
    <w:rsid w:val="006456E5"/>
    <w:rsid w:val="00646546"/>
    <w:rsid w:val="006973CF"/>
    <w:rsid w:val="006B7C37"/>
    <w:rsid w:val="006D1691"/>
    <w:rsid w:val="006D7655"/>
    <w:rsid w:val="006F1EB1"/>
    <w:rsid w:val="006F2A91"/>
    <w:rsid w:val="00703960"/>
    <w:rsid w:val="00747DC3"/>
    <w:rsid w:val="00776995"/>
    <w:rsid w:val="007802D8"/>
    <w:rsid w:val="00793E07"/>
    <w:rsid w:val="007B797E"/>
    <w:rsid w:val="00826641"/>
    <w:rsid w:val="00844475"/>
    <w:rsid w:val="008538BB"/>
    <w:rsid w:val="008D5BC5"/>
    <w:rsid w:val="009042F3"/>
    <w:rsid w:val="00921013"/>
    <w:rsid w:val="009246AD"/>
    <w:rsid w:val="00926DA7"/>
    <w:rsid w:val="0095613A"/>
    <w:rsid w:val="009673F9"/>
    <w:rsid w:val="00994081"/>
    <w:rsid w:val="009A0BD8"/>
    <w:rsid w:val="009D7F8B"/>
    <w:rsid w:val="00A20F63"/>
    <w:rsid w:val="00A30602"/>
    <w:rsid w:val="00A65FD1"/>
    <w:rsid w:val="00A77387"/>
    <w:rsid w:val="00A915B5"/>
    <w:rsid w:val="00AC01C1"/>
    <w:rsid w:val="00AD467F"/>
    <w:rsid w:val="00B101E5"/>
    <w:rsid w:val="00B21E9D"/>
    <w:rsid w:val="00B26D8B"/>
    <w:rsid w:val="00B35714"/>
    <w:rsid w:val="00B41DC6"/>
    <w:rsid w:val="00B44A69"/>
    <w:rsid w:val="00B468DD"/>
    <w:rsid w:val="00B528DB"/>
    <w:rsid w:val="00B54500"/>
    <w:rsid w:val="00B60ABC"/>
    <w:rsid w:val="00B66199"/>
    <w:rsid w:val="00B7034A"/>
    <w:rsid w:val="00B82F7E"/>
    <w:rsid w:val="00BA068B"/>
    <w:rsid w:val="00BC3535"/>
    <w:rsid w:val="00BF4EE7"/>
    <w:rsid w:val="00C063E7"/>
    <w:rsid w:val="00C310BE"/>
    <w:rsid w:val="00C360E2"/>
    <w:rsid w:val="00C43F2F"/>
    <w:rsid w:val="00C57DA9"/>
    <w:rsid w:val="00C76614"/>
    <w:rsid w:val="00CF4B03"/>
    <w:rsid w:val="00D16786"/>
    <w:rsid w:val="00D50B9E"/>
    <w:rsid w:val="00D513A1"/>
    <w:rsid w:val="00D83426"/>
    <w:rsid w:val="00D907EB"/>
    <w:rsid w:val="00DB2D02"/>
    <w:rsid w:val="00DD483F"/>
    <w:rsid w:val="00E212A1"/>
    <w:rsid w:val="00E25C72"/>
    <w:rsid w:val="00E375A4"/>
    <w:rsid w:val="00E6059A"/>
    <w:rsid w:val="00E615AF"/>
    <w:rsid w:val="00E62BDC"/>
    <w:rsid w:val="00EA754E"/>
    <w:rsid w:val="00EC520E"/>
    <w:rsid w:val="00ED45DB"/>
    <w:rsid w:val="00EE1207"/>
    <w:rsid w:val="00F44D26"/>
    <w:rsid w:val="00F64558"/>
    <w:rsid w:val="00F67A3A"/>
    <w:rsid w:val="00F73726"/>
    <w:rsid w:val="00F9599B"/>
    <w:rsid w:val="00FC1042"/>
    <w:rsid w:val="00FC7646"/>
    <w:rsid w:val="00FD5BB2"/>
    <w:rsid w:val="00FE2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B3AAA"/>
  <w15:chartTrackingRefBased/>
  <w15:docId w15:val="{95D90C60-DA8B-449F-8D98-CAB796E9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F2F"/>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rsid w:val="00EC520E"/>
    <w:rPr>
      <w:rFonts w:ascii="Trebuchet MS" w:eastAsia="Trebuchet MS" w:hAnsi="Trebuchet MS" w:cs="Trebuchet MS"/>
      <w:b/>
      <w:bCs/>
      <w:sz w:val="20"/>
      <w:szCs w:val="20"/>
    </w:rPr>
  </w:style>
  <w:style w:type="paragraph" w:customStyle="1" w:styleId="Nagwek20">
    <w:name w:val="Nagłówek #2"/>
    <w:basedOn w:val="Normalny"/>
    <w:link w:val="Nagwek2"/>
    <w:rsid w:val="00EC520E"/>
    <w:pPr>
      <w:widowControl w:val="0"/>
      <w:spacing w:after="340" w:line="360" w:lineRule="auto"/>
      <w:jc w:val="center"/>
      <w:outlineLvl w:val="1"/>
    </w:pPr>
    <w:rPr>
      <w:rFonts w:ascii="Trebuchet MS" w:eastAsia="Trebuchet MS" w:hAnsi="Trebuchet MS" w:cs="Trebuchet MS"/>
      <w:b/>
      <w:bCs/>
      <w:sz w:val="20"/>
      <w:szCs w:val="20"/>
    </w:rPr>
  </w:style>
  <w:style w:type="character" w:styleId="Hipercze">
    <w:name w:val="Hyperlink"/>
    <w:basedOn w:val="Domylnaczcionkaakapitu"/>
    <w:uiPriority w:val="99"/>
    <w:unhideWhenUsed/>
    <w:rsid w:val="00EC520E"/>
    <w:rPr>
      <w:color w:val="0563C1"/>
      <w:u w:val="single"/>
    </w:rPr>
  </w:style>
  <w:style w:type="character" w:customStyle="1" w:styleId="Nierozpoznanawzmianka1">
    <w:name w:val="Nierozpoznana wzmianka1"/>
    <w:basedOn w:val="Domylnaczcionkaakapitu"/>
    <w:uiPriority w:val="99"/>
    <w:semiHidden/>
    <w:unhideWhenUsed/>
    <w:rsid w:val="00EC520E"/>
    <w:rPr>
      <w:color w:val="605E5C"/>
      <w:shd w:val="clear" w:color="auto" w:fill="E1DFDD"/>
    </w:rPr>
  </w:style>
  <w:style w:type="paragraph" w:styleId="Akapitzlist">
    <w:name w:val="List Paragraph"/>
    <w:basedOn w:val="Normalny"/>
    <w:uiPriority w:val="34"/>
    <w:qFormat/>
    <w:rsid w:val="000F17A1"/>
    <w:pPr>
      <w:ind w:left="720"/>
      <w:contextualSpacing/>
    </w:pPr>
  </w:style>
  <w:style w:type="character" w:styleId="Odwoaniedokomentarza">
    <w:name w:val="annotation reference"/>
    <w:basedOn w:val="Domylnaczcionkaakapitu"/>
    <w:uiPriority w:val="99"/>
    <w:semiHidden/>
    <w:unhideWhenUsed/>
    <w:rsid w:val="000F17A1"/>
    <w:rPr>
      <w:sz w:val="16"/>
      <w:szCs w:val="16"/>
    </w:rPr>
  </w:style>
  <w:style w:type="paragraph" w:styleId="Tekstkomentarza">
    <w:name w:val="annotation text"/>
    <w:basedOn w:val="Normalny"/>
    <w:link w:val="TekstkomentarzaZnak"/>
    <w:uiPriority w:val="99"/>
    <w:unhideWhenUsed/>
    <w:rsid w:val="000F17A1"/>
    <w:pPr>
      <w:spacing w:line="240" w:lineRule="auto"/>
    </w:pPr>
    <w:rPr>
      <w:sz w:val="20"/>
      <w:szCs w:val="20"/>
    </w:rPr>
  </w:style>
  <w:style w:type="character" w:customStyle="1" w:styleId="TekstkomentarzaZnak">
    <w:name w:val="Tekst komentarza Znak"/>
    <w:basedOn w:val="Domylnaczcionkaakapitu"/>
    <w:link w:val="Tekstkomentarza"/>
    <w:uiPriority w:val="99"/>
    <w:rsid w:val="000F17A1"/>
    <w:rPr>
      <w:sz w:val="20"/>
      <w:szCs w:val="20"/>
    </w:rPr>
  </w:style>
  <w:style w:type="paragraph" w:styleId="Tematkomentarza">
    <w:name w:val="annotation subject"/>
    <w:basedOn w:val="Tekstkomentarza"/>
    <w:next w:val="Tekstkomentarza"/>
    <w:link w:val="TematkomentarzaZnak"/>
    <w:uiPriority w:val="99"/>
    <w:semiHidden/>
    <w:unhideWhenUsed/>
    <w:rsid w:val="000F17A1"/>
    <w:rPr>
      <w:b/>
      <w:bCs/>
    </w:rPr>
  </w:style>
  <w:style w:type="character" w:customStyle="1" w:styleId="TematkomentarzaZnak">
    <w:name w:val="Temat komentarza Znak"/>
    <w:basedOn w:val="TekstkomentarzaZnak"/>
    <w:link w:val="Tematkomentarza"/>
    <w:uiPriority w:val="99"/>
    <w:semiHidden/>
    <w:rsid w:val="000F17A1"/>
    <w:rPr>
      <w:b/>
      <w:bCs/>
      <w:sz w:val="20"/>
      <w:szCs w:val="20"/>
    </w:rPr>
  </w:style>
  <w:style w:type="paragraph" w:styleId="Tekstprzypisudolnego">
    <w:name w:val="footnote text"/>
    <w:basedOn w:val="Normalny"/>
    <w:link w:val="TekstprzypisudolnegoZnak"/>
    <w:uiPriority w:val="99"/>
    <w:semiHidden/>
    <w:unhideWhenUsed/>
    <w:rsid w:val="00C7661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76614"/>
    <w:rPr>
      <w:sz w:val="20"/>
      <w:szCs w:val="20"/>
    </w:rPr>
  </w:style>
  <w:style w:type="character" w:styleId="Odwoanieprzypisudolnego">
    <w:name w:val="footnote reference"/>
    <w:basedOn w:val="Domylnaczcionkaakapitu"/>
    <w:uiPriority w:val="99"/>
    <w:semiHidden/>
    <w:unhideWhenUsed/>
    <w:rsid w:val="00C76614"/>
    <w:rPr>
      <w:vertAlign w:val="superscript"/>
    </w:rPr>
  </w:style>
  <w:style w:type="paragraph" w:styleId="Poprawka">
    <w:name w:val="Revision"/>
    <w:hidden/>
    <w:uiPriority w:val="99"/>
    <w:semiHidden/>
    <w:rsid w:val="008538BB"/>
    <w:rPr>
      <w:sz w:val="22"/>
      <w:szCs w:val="22"/>
      <w:lang w:eastAsia="en-US"/>
    </w:rPr>
  </w:style>
  <w:style w:type="paragraph" w:styleId="Nagwek">
    <w:name w:val="header"/>
    <w:basedOn w:val="Normalny"/>
    <w:link w:val="NagwekZnak"/>
    <w:uiPriority w:val="99"/>
    <w:unhideWhenUsed/>
    <w:rsid w:val="003C53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53DA"/>
  </w:style>
  <w:style w:type="paragraph" w:styleId="Stopka">
    <w:name w:val="footer"/>
    <w:basedOn w:val="Normalny"/>
    <w:link w:val="StopkaZnak"/>
    <w:uiPriority w:val="99"/>
    <w:unhideWhenUsed/>
    <w:rsid w:val="003C53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53DA"/>
  </w:style>
  <w:style w:type="paragraph" w:styleId="Tekstdymka">
    <w:name w:val="Balloon Text"/>
    <w:basedOn w:val="Normalny"/>
    <w:link w:val="TekstdymkaZnak"/>
    <w:uiPriority w:val="99"/>
    <w:semiHidden/>
    <w:unhideWhenUsed/>
    <w:rsid w:val="002A47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4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57648">
      <w:bodyDiv w:val="1"/>
      <w:marLeft w:val="0"/>
      <w:marRight w:val="0"/>
      <w:marTop w:val="0"/>
      <w:marBottom w:val="0"/>
      <w:divBdr>
        <w:top w:val="none" w:sz="0" w:space="0" w:color="auto"/>
        <w:left w:val="none" w:sz="0" w:space="0" w:color="auto"/>
        <w:bottom w:val="none" w:sz="0" w:space="0" w:color="auto"/>
        <w:right w:val="none" w:sz="0" w:space="0" w:color="auto"/>
      </w:divBdr>
      <w:divsChild>
        <w:div w:id="838276573">
          <w:marLeft w:val="0"/>
          <w:marRight w:val="0"/>
          <w:marTop w:val="0"/>
          <w:marBottom w:val="0"/>
          <w:divBdr>
            <w:top w:val="none" w:sz="0" w:space="0" w:color="auto"/>
            <w:left w:val="none" w:sz="0" w:space="0" w:color="auto"/>
            <w:bottom w:val="none" w:sz="0" w:space="0" w:color="auto"/>
            <w:right w:val="none" w:sz="0" w:space="0" w:color="auto"/>
          </w:divBdr>
          <w:divsChild>
            <w:div w:id="5638524">
              <w:marLeft w:val="0"/>
              <w:marRight w:val="0"/>
              <w:marTop w:val="0"/>
              <w:marBottom w:val="0"/>
              <w:divBdr>
                <w:top w:val="none" w:sz="0" w:space="0" w:color="auto"/>
                <w:left w:val="none" w:sz="0" w:space="0" w:color="auto"/>
                <w:bottom w:val="none" w:sz="0" w:space="0" w:color="auto"/>
                <w:right w:val="none" w:sz="0" w:space="0" w:color="auto"/>
              </w:divBdr>
              <w:divsChild>
                <w:div w:id="1905145586">
                  <w:marLeft w:val="0"/>
                  <w:marRight w:val="0"/>
                  <w:marTop w:val="0"/>
                  <w:marBottom w:val="0"/>
                  <w:divBdr>
                    <w:top w:val="none" w:sz="0" w:space="0" w:color="auto"/>
                    <w:left w:val="none" w:sz="0" w:space="0" w:color="auto"/>
                    <w:bottom w:val="none" w:sz="0" w:space="0" w:color="auto"/>
                    <w:right w:val="none" w:sz="0" w:space="0" w:color="auto"/>
                  </w:divBdr>
                </w:div>
              </w:divsChild>
            </w:div>
            <w:div w:id="215360260">
              <w:marLeft w:val="0"/>
              <w:marRight w:val="0"/>
              <w:marTop w:val="0"/>
              <w:marBottom w:val="0"/>
              <w:divBdr>
                <w:top w:val="none" w:sz="0" w:space="0" w:color="auto"/>
                <w:left w:val="none" w:sz="0" w:space="0" w:color="auto"/>
                <w:bottom w:val="none" w:sz="0" w:space="0" w:color="auto"/>
                <w:right w:val="none" w:sz="0" w:space="0" w:color="auto"/>
              </w:divBdr>
              <w:divsChild>
                <w:div w:id="1959221118">
                  <w:marLeft w:val="0"/>
                  <w:marRight w:val="0"/>
                  <w:marTop w:val="0"/>
                  <w:marBottom w:val="0"/>
                  <w:divBdr>
                    <w:top w:val="none" w:sz="0" w:space="0" w:color="auto"/>
                    <w:left w:val="none" w:sz="0" w:space="0" w:color="auto"/>
                    <w:bottom w:val="none" w:sz="0" w:space="0" w:color="auto"/>
                    <w:right w:val="none" w:sz="0" w:space="0" w:color="auto"/>
                  </w:divBdr>
                </w:div>
              </w:divsChild>
            </w:div>
            <w:div w:id="335621445">
              <w:marLeft w:val="0"/>
              <w:marRight w:val="0"/>
              <w:marTop w:val="0"/>
              <w:marBottom w:val="0"/>
              <w:divBdr>
                <w:top w:val="none" w:sz="0" w:space="0" w:color="auto"/>
                <w:left w:val="none" w:sz="0" w:space="0" w:color="auto"/>
                <w:bottom w:val="none" w:sz="0" w:space="0" w:color="auto"/>
                <w:right w:val="none" w:sz="0" w:space="0" w:color="auto"/>
              </w:divBdr>
              <w:divsChild>
                <w:div w:id="1553614610">
                  <w:marLeft w:val="0"/>
                  <w:marRight w:val="0"/>
                  <w:marTop w:val="0"/>
                  <w:marBottom w:val="0"/>
                  <w:divBdr>
                    <w:top w:val="none" w:sz="0" w:space="0" w:color="auto"/>
                    <w:left w:val="none" w:sz="0" w:space="0" w:color="auto"/>
                    <w:bottom w:val="none" w:sz="0" w:space="0" w:color="auto"/>
                    <w:right w:val="none" w:sz="0" w:space="0" w:color="auto"/>
                  </w:divBdr>
                </w:div>
              </w:divsChild>
            </w:div>
            <w:div w:id="805244608">
              <w:marLeft w:val="0"/>
              <w:marRight w:val="0"/>
              <w:marTop w:val="0"/>
              <w:marBottom w:val="0"/>
              <w:divBdr>
                <w:top w:val="none" w:sz="0" w:space="0" w:color="auto"/>
                <w:left w:val="none" w:sz="0" w:space="0" w:color="auto"/>
                <w:bottom w:val="none" w:sz="0" w:space="0" w:color="auto"/>
                <w:right w:val="none" w:sz="0" w:space="0" w:color="auto"/>
              </w:divBdr>
              <w:divsChild>
                <w:div w:id="35590974">
                  <w:marLeft w:val="0"/>
                  <w:marRight w:val="0"/>
                  <w:marTop w:val="0"/>
                  <w:marBottom w:val="0"/>
                  <w:divBdr>
                    <w:top w:val="none" w:sz="0" w:space="0" w:color="auto"/>
                    <w:left w:val="none" w:sz="0" w:space="0" w:color="auto"/>
                    <w:bottom w:val="none" w:sz="0" w:space="0" w:color="auto"/>
                    <w:right w:val="none" w:sz="0" w:space="0" w:color="auto"/>
                  </w:divBdr>
                </w:div>
              </w:divsChild>
            </w:div>
            <w:div w:id="898784841">
              <w:marLeft w:val="0"/>
              <w:marRight w:val="0"/>
              <w:marTop w:val="0"/>
              <w:marBottom w:val="0"/>
              <w:divBdr>
                <w:top w:val="none" w:sz="0" w:space="0" w:color="auto"/>
                <w:left w:val="none" w:sz="0" w:space="0" w:color="auto"/>
                <w:bottom w:val="none" w:sz="0" w:space="0" w:color="auto"/>
                <w:right w:val="none" w:sz="0" w:space="0" w:color="auto"/>
              </w:divBdr>
              <w:divsChild>
                <w:div w:id="1188327089">
                  <w:marLeft w:val="0"/>
                  <w:marRight w:val="0"/>
                  <w:marTop w:val="0"/>
                  <w:marBottom w:val="0"/>
                  <w:divBdr>
                    <w:top w:val="none" w:sz="0" w:space="0" w:color="auto"/>
                    <w:left w:val="none" w:sz="0" w:space="0" w:color="auto"/>
                    <w:bottom w:val="none" w:sz="0" w:space="0" w:color="auto"/>
                    <w:right w:val="none" w:sz="0" w:space="0" w:color="auto"/>
                  </w:divBdr>
                </w:div>
              </w:divsChild>
            </w:div>
            <w:div w:id="952513439">
              <w:marLeft w:val="0"/>
              <w:marRight w:val="0"/>
              <w:marTop w:val="0"/>
              <w:marBottom w:val="0"/>
              <w:divBdr>
                <w:top w:val="none" w:sz="0" w:space="0" w:color="auto"/>
                <w:left w:val="none" w:sz="0" w:space="0" w:color="auto"/>
                <w:bottom w:val="none" w:sz="0" w:space="0" w:color="auto"/>
                <w:right w:val="none" w:sz="0" w:space="0" w:color="auto"/>
              </w:divBdr>
              <w:divsChild>
                <w:div w:id="1685549502">
                  <w:marLeft w:val="0"/>
                  <w:marRight w:val="0"/>
                  <w:marTop w:val="0"/>
                  <w:marBottom w:val="0"/>
                  <w:divBdr>
                    <w:top w:val="none" w:sz="0" w:space="0" w:color="auto"/>
                    <w:left w:val="none" w:sz="0" w:space="0" w:color="auto"/>
                    <w:bottom w:val="none" w:sz="0" w:space="0" w:color="auto"/>
                    <w:right w:val="none" w:sz="0" w:space="0" w:color="auto"/>
                  </w:divBdr>
                </w:div>
              </w:divsChild>
            </w:div>
            <w:div w:id="1084379933">
              <w:marLeft w:val="0"/>
              <w:marRight w:val="0"/>
              <w:marTop w:val="0"/>
              <w:marBottom w:val="0"/>
              <w:divBdr>
                <w:top w:val="none" w:sz="0" w:space="0" w:color="auto"/>
                <w:left w:val="none" w:sz="0" w:space="0" w:color="auto"/>
                <w:bottom w:val="none" w:sz="0" w:space="0" w:color="auto"/>
                <w:right w:val="none" w:sz="0" w:space="0" w:color="auto"/>
              </w:divBdr>
              <w:divsChild>
                <w:div w:id="1691294306">
                  <w:marLeft w:val="0"/>
                  <w:marRight w:val="0"/>
                  <w:marTop w:val="0"/>
                  <w:marBottom w:val="0"/>
                  <w:divBdr>
                    <w:top w:val="none" w:sz="0" w:space="0" w:color="auto"/>
                    <w:left w:val="none" w:sz="0" w:space="0" w:color="auto"/>
                    <w:bottom w:val="none" w:sz="0" w:space="0" w:color="auto"/>
                    <w:right w:val="none" w:sz="0" w:space="0" w:color="auto"/>
                  </w:divBdr>
                </w:div>
              </w:divsChild>
            </w:div>
            <w:div w:id="1234390621">
              <w:marLeft w:val="0"/>
              <w:marRight w:val="0"/>
              <w:marTop w:val="0"/>
              <w:marBottom w:val="0"/>
              <w:divBdr>
                <w:top w:val="none" w:sz="0" w:space="0" w:color="auto"/>
                <w:left w:val="none" w:sz="0" w:space="0" w:color="auto"/>
                <w:bottom w:val="none" w:sz="0" w:space="0" w:color="auto"/>
                <w:right w:val="none" w:sz="0" w:space="0" w:color="auto"/>
              </w:divBdr>
            </w:div>
            <w:div w:id="1744059179">
              <w:marLeft w:val="0"/>
              <w:marRight w:val="0"/>
              <w:marTop w:val="0"/>
              <w:marBottom w:val="0"/>
              <w:divBdr>
                <w:top w:val="none" w:sz="0" w:space="0" w:color="auto"/>
                <w:left w:val="none" w:sz="0" w:space="0" w:color="auto"/>
                <w:bottom w:val="none" w:sz="0" w:space="0" w:color="auto"/>
                <w:right w:val="none" w:sz="0" w:space="0" w:color="auto"/>
              </w:divBdr>
              <w:divsChild>
                <w:div w:id="8766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31159">
          <w:marLeft w:val="0"/>
          <w:marRight w:val="0"/>
          <w:marTop w:val="0"/>
          <w:marBottom w:val="0"/>
          <w:divBdr>
            <w:top w:val="none" w:sz="0" w:space="0" w:color="auto"/>
            <w:left w:val="none" w:sz="0" w:space="0" w:color="auto"/>
            <w:bottom w:val="none" w:sz="0" w:space="0" w:color="auto"/>
            <w:right w:val="none" w:sz="0" w:space="0" w:color="auto"/>
          </w:divBdr>
          <w:divsChild>
            <w:div w:id="589582433">
              <w:marLeft w:val="0"/>
              <w:marRight w:val="0"/>
              <w:marTop w:val="0"/>
              <w:marBottom w:val="0"/>
              <w:divBdr>
                <w:top w:val="none" w:sz="0" w:space="0" w:color="auto"/>
                <w:left w:val="none" w:sz="0" w:space="0" w:color="auto"/>
                <w:bottom w:val="none" w:sz="0" w:space="0" w:color="auto"/>
                <w:right w:val="none" w:sz="0" w:space="0" w:color="auto"/>
              </w:divBdr>
              <w:divsChild>
                <w:div w:id="951976991">
                  <w:marLeft w:val="0"/>
                  <w:marRight w:val="0"/>
                  <w:marTop w:val="0"/>
                  <w:marBottom w:val="0"/>
                  <w:divBdr>
                    <w:top w:val="none" w:sz="0" w:space="0" w:color="auto"/>
                    <w:left w:val="none" w:sz="0" w:space="0" w:color="auto"/>
                    <w:bottom w:val="none" w:sz="0" w:space="0" w:color="auto"/>
                    <w:right w:val="none" w:sz="0" w:space="0" w:color="auto"/>
                  </w:divBdr>
                </w:div>
              </w:divsChild>
            </w:div>
            <w:div w:id="950434706">
              <w:marLeft w:val="0"/>
              <w:marRight w:val="0"/>
              <w:marTop w:val="0"/>
              <w:marBottom w:val="0"/>
              <w:divBdr>
                <w:top w:val="none" w:sz="0" w:space="0" w:color="auto"/>
                <w:left w:val="none" w:sz="0" w:space="0" w:color="auto"/>
                <w:bottom w:val="none" w:sz="0" w:space="0" w:color="auto"/>
                <w:right w:val="none" w:sz="0" w:space="0" w:color="auto"/>
              </w:divBdr>
              <w:divsChild>
                <w:div w:id="715544523">
                  <w:marLeft w:val="0"/>
                  <w:marRight w:val="0"/>
                  <w:marTop w:val="0"/>
                  <w:marBottom w:val="0"/>
                  <w:divBdr>
                    <w:top w:val="none" w:sz="0" w:space="0" w:color="auto"/>
                    <w:left w:val="none" w:sz="0" w:space="0" w:color="auto"/>
                    <w:bottom w:val="none" w:sz="0" w:space="0" w:color="auto"/>
                    <w:right w:val="none" w:sz="0" w:space="0" w:color="auto"/>
                  </w:divBdr>
                </w:div>
              </w:divsChild>
            </w:div>
            <w:div w:id="1075669484">
              <w:marLeft w:val="0"/>
              <w:marRight w:val="0"/>
              <w:marTop w:val="0"/>
              <w:marBottom w:val="0"/>
              <w:divBdr>
                <w:top w:val="none" w:sz="0" w:space="0" w:color="auto"/>
                <w:left w:val="none" w:sz="0" w:space="0" w:color="auto"/>
                <w:bottom w:val="none" w:sz="0" w:space="0" w:color="auto"/>
                <w:right w:val="none" w:sz="0" w:space="0" w:color="auto"/>
              </w:divBdr>
              <w:divsChild>
                <w:div w:id="1039010391">
                  <w:marLeft w:val="0"/>
                  <w:marRight w:val="0"/>
                  <w:marTop w:val="0"/>
                  <w:marBottom w:val="0"/>
                  <w:divBdr>
                    <w:top w:val="none" w:sz="0" w:space="0" w:color="auto"/>
                    <w:left w:val="none" w:sz="0" w:space="0" w:color="auto"/>
                    <w:bottom w:val="none" w:sz="0" w:space="0" w:color="auto"/>
                    <w:right w:val="none" w:sz="0" w:space="0" w:color="auto"/>
                  </w:divBdr>
                </w:div>
              </w:divsChild>
            </w:div>
            <w:div w:id="1082721316">
              <w:marLeft w:val="0"/>
              <w:marRight w:val="0"/>
              <w:marTop w:val="0"/>
              <w:marBottom w:val="0"/>
              <w:divBdr>
                <w:top w:val="none" w:sz="0" w:space="0" w:color="auto"/>
                <w:left w:val="none" w:sz="0" w:space="0" w:color="auto"/>
                <w:bottom w:val="none" w:sz="0" w:space="0" w:color="auto"/>
                <w:right w:val="none" w:sz="0" w:space="0" w:color="auto"/>
              </w:divBdr>
              <w:divsChild>
                <w:div w:id="833225827">
                  <w:marLeft w:val="0"/>
                  <w:marRight w:val="0"/>
                  <w:marTop w:val="0"/>
                  <w:marBottom w:val="0"/>
                  <w:divBdr>
                    <w:top w:val="none" w:sz="0" w:space="0" w:color="auto"/>
                    <w:left w:val="none" w:sz="0" w:space="0" w:color="auto"/>
                    <w:bottom w:val="none" w:sz="0" w:space="0" w:color="auto"/>
                    <w:right w:val="none" w:sz="0" w:space="0" w:color="auto"/>
                  </w:divBdr>
                </w:div>
              </w:divsChild>
            </w:div>
            <w:div w:id="1614896236">
              <w:marLeft w:val="0"/>
              <w:marRight w:val="0"/>
              <w:marTop w:val="0"/>
              <w:marBottom w:val="0"/>
              <w:divBdr>
                <w:top w:val="none" w:sz="0" w:space="0" w:color="auto"/>
                <w:left w:val="none" w:sz="0" w:space="0" w:color="auto"/>
                <w:bottom w:val="none" w:sz="0" w:space="0" w:color="auto"/>
                <w:right w:val="none" w:sz="0" w:space="0" w:color="auto"/>
              </w:divBdr>
              <w:divsChild>
                <w:div w:id="926961579">
                  <w:marLeft w:val="0"/>
                  <w:marRight w:val="0"/>
                  <w:marTop w:val="0"/>
                  <w:marBottom w:val="0"/>
                  <w:divBdr>
                    <w:top w:val="none" w:sz="0" w:space="0" w:color="auto"/>
                    <w:left w:val="none" w:sz="0" w:space="0" w:color="auto"/>
                    <w:bottom w:val="none" w:sz="0" w:space="0" w:color="auto"/>
                    <w:right w:val="none" w:sz="0" w:space="0" w:color="auto"/>
                  </w:divBdr>
                </w:div>
              </w:divsChild>
            </w:div>
            <w:div w:id="1699314227">
              <w:marLeft w:val="0"/>
              <w:marRight w:val="0"/>
              <w:marTop w:val="0"/>
              <w:marBottom w:val="0"/>
              <w:divBdr>
                <w:top w:val="none" w:sz="0" w:space="0" w:color="auto"/>
                <w:left w:val="none" w:sz="0" w:space="0" w:color="auto"/>
                <w:bottom w:val="none" w:sz="0" w:space="0" w:color="auto"/>
                <w:right w:val="none" w:sz="0" w:space="0" w:color="auto"/>
              </w:divBdr>
              <w:divsChild>
                <w:div w:id="1420977882">
                  <w:marLeft w:val="0"/>
                  <w:marRight w:val="0"/>
                  <w:marTop w:val="0"/>
                  <w:marBottom w:val="0"/>
                  <w:divBdr>
                    <w:top w:val="none" w:sz="0" w:space="0" w:color="auto"/>
                    <w:left w:val="none" w:sz="0" w:space="0" w:color="auto"/>
                    <w:bottom w:val="none" w:sz="0" w:space="0" w:color="auto"/>
                    <w:right w:val="none" w:sz="0" w:space="0" w:color="auto"/>
                  </w:divBdr>
                </w:div>
              </w:divsChild>
            </w:div>
            <w:div w:id="1761486885">
              <w:marLeft w:val="0"/>
              <w:marRight w:val="0"/>
              <w:marTop w:val="0"/>
              <w:marBottom w:val="0"/>
              <w:divBdr>
                <w:top w:val="none" w:sz="0" w:space="0" w:color="auto"/>
                <w:left w:val="none" w:sz="0" w:space="0" w:color="auto"/>
                <w:bottom w:val="none" w:sz="0" w:space="0" w:color="auto"/>
                <w:right w:val="none" w:sz="0" w:space="0" w:color="auto"/>
              </w:divBdr>
              <w:divsChild>
                <w:div w:id="889192978">
                  <w:marLeft w:val="0"/>
                  <w:marRight w:val="0"/>
                  <w:marTop w:val="0"/>
                  <w:marBottom w:val="0"/>
                  <w:divBdr>
                    <w:top w:val="none" w:sz="0" w:space="0" w:color="auto"/>
                    <w:left w:val="none" w:sz="0" w:space="0" w:color="auto"/>
                    <w:bottom w:val="none" w:sz="0" w:space="0" w:color="auto"/>
                    <w:right w:val="none" w:sz="0" w:space="0" w:color="auto"/>
                  </w:divBdr>
                </w:div>
              </w:divsChild>
            </w:div>
            <w:div w:id="2101442767">
              <w:marLeft w:val="0"/>
              <w:marRight w:val="0"/>
              <w:marTop w:val="0"/>
              <w:marBottom w:val="0"/>
              <w:divBdr>
                <w:top w:val="none" w:sz="0" w:space="0" w:color="auto"/>
                <w:left w:val="none" w:sz="0" w:space="0" w:color="auto"/>
                <w:bottom w:val="none" w:sz="0" w:space="0" w:color="auto"/>
                <w:right w:val="none" w:sz="0" w:space="0" w:color="auto"/>
              </w:divBdr>
              <w:divsChild>
                <w:div w:id="11362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B6427-A6A2-4282-86E7-FF838848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8253</Words>
  <Characters>49524</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Wilczewski</dc:creator>
  <cp:keywords/>
  <cp:lastModifiedBy>Urząd Gminy Miedzichowo</cp:lastModifiedBy>
  <cp:revision>4</cp:revision>
  <cp:lastPrinted>2023-08-10T09:49:00Z</cp:lastPrinted>
  <dcterms:created xsi:type="dcterms:W3CDTF">2023-08-15T10:04:00Z</dcterms:created>
  <dcterms:modified xsi:type="dcterms:W3CDTF">2023-08-21T09:24:00Z</dcterms:modified>
</cp:coreProperties>
</file>