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40A" w14:textId="02B880D0" w:rsidR="00654C57" w:rsidRDefault="00654C57" w:rsidP="002C6854">
      <w:pPr>
        <w:pStyle w:val="Default"/>
        <w:ind w:right="-284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o pełnienie funkcji Inspektora Nadzoru Inwestorskiego</w:t>
      </w:r>
    </w:p>
    <w:p w14:paraId="7B3257FE" w14:textId="77777777" w:rsidR="00432509" w:rsidRDefault="00432509" w:rsidP="00654C57">
      <w:pPr>
        <w:pStyle w:val="Default"/>
        <w:ind w:right="-284"/>
        <w:rPr>
          <w:rFonts w:asciiTheme="minorHAnsi" w:hAnsiTheme="minorHAnsi" w:cstheme="minorHAnsi"/>
          <w:bCs/>
          <w:sz w:val="22"/>
          <w:szCs w:val="22"/>
        </w:rPr>
      </w:pPr>
    </w:p>
    <w:p w14:paraId="6EED3007" w14:textId="2297C9A9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bCs/>
          <w:sz w:val="22"/>
          <w:szCs w:val="22"/>
        </w:rPr>
        <w:t>Nr ..................................</w:t>
      </w:r>
    </w:p>
    <w:p w14:paraId="749E0654" w14:textId="77777777" w:rsidR="002C6854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w dniu ...............................…. w </w:t>
      </w:r>
      <w:r>
        <w:rPr>
          <w:rFonts w:asciiTheme="minorHAnsi" w:hAnsiTheme="minorHAnsi" w:cstheme="minorHAnsi"/>
          <w:sz w:val="22"/>
          <w:szCs w:val="22"/>
        </w:rPr>
        <w:t>Miedzichowie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21C9D7F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>
        <w:rPr>
          <w:rFonts w:cstheme="minorHAnsi"/>
        </w:rPr>
        <w:t>Gminą Miedzichowo ul. Poznańska 12, 64-361 Miedzichowo</w:t>
      </w:r>
      <w:r w:rsidR="00FE6292" w:rsidRPr="00654C57">
        <w:rPr>
          <w:rFonts w:cstheme="minorHAnsi"/>
        </w:rPr>
        <w:t>, 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– 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3F02E8B1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</w:t>
      </w:r>
      <w:r w:rsidR="000C5CB3" w:rsidRPr="00654C57">
        <w:rPr>
          <w:rFonts w:asciiTheme="minorHAnsi" w:hAnsiTheme="minorHAnsi" w:cstheme="minorHAnsi"/>
          <w:sz w:val="22"/>
          <w:szCs w:val="22"/>
        </w:rPr>
        <w:t xml:space="preserve">prowadzącym działalność gospodarczą pod firmą ………………………………………………………………………………………………………………………………….. </w:t>
      </w:r>
      <w:r w:rsidRPr="00654C57">
        <w:rPr>
          <w:rFonts w:asciiTheme="minorHAnsi" w:hAnsiTheme="minorHAnsi" w:cstheme="minorHAnsi"/>
          <w:sz w:val="22"/>
          <w:szCs w:val="22"/>
        </w:rPr>
        <w:t>z siedzibą w …………………………………….……. przy ul. .…………</w:t>
      </w:r>
      <w:r w:rsidR="000C5CB3" w:rsidRPr="00654C57">
        <w:rPr>
          <w:rFonts w:asciiTheme="minorHAnsi" w:hAnsiTheme="minorHAnsi" w:cstheme="minorHAnsi"/>
          <w:sz w:val="22"/>
          <w:szCs w:val="22"/>
        </w:rPr>
        <w:t>……………................................</w:t>
      </w:r>
      <w:r w:rsidRPr="00654C57">
        <w:rPr>
          <w:rFonts w:asciiTheme="minorHAnsi" w:hAnsiTheme="minorHAnsi" w:cstheme="minorHAnsi"/>
          <w:sz w:val="22"/>
          <w:szCs w:val="22"/>
        </w:rPr>
        <w:t>………….., NIP:…………….…………, Regon:………………………… zwaną   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Pr="00654C57">
        <w:rPr>
          <w:rFonts w:asciiTheme="minorHAnsi" w:hAnsiTheme="minorHAnsi" w:cstheme="minorHAnsi"/>
          <w:sz w:val="22"/>
          <w:szCs w:val="22"/>
        </w:rPr>
        <w:t>”, reprezentowaną przez:</w:t>
      </w:r>
    </w:p>
    <w:p w14:paraId="6DA59781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……………………………………………………………………………..………………………………………….</w:t>
      </w: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15904BC3" w:rsidR="00FE6292" w:rsidRPr="00654C57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</w:rPr>
      </w:pPr>
      <w:r w:rsidRPr="00654C57">
        <w:rPr>
          <w:rFonts w:eastAsia="Calibri" w:cstheme="minorHAnsi"/>
          <w:color w:val="000000"/>
        </w:rPr>
        <w:t xml:space="preserve">Zamawiający zleca, a </w:t>
      </w:r>
      <w:r w:rsidRPr="00654C57">
        <w:rPr>
          <w:rFonts w:cstheme="minorHAnsi"/>
          <w:color w:val="000000"/>
          <w:lang w:eastAsia="x-none"/>
        </w:rPr>
        <w:t>Wykonawca</w:t>
      </w:r>
      <w:r w:rsidRPr="00654C57">
        <w:rPr>
          <w:rFonts w:eastAsia="Calibri" w:cstheme="minorHAnsi"/>
          <w:color w:val="000000"/>
        </w:rPr>
        <w:t xml:space="preserve"> przyjmuje obowiązek pełnienia </w:t>
      </w:r>
      <w:r w:rsidRPr="00654C57">
        <w:rPr>
          <w:rFonts w:cstheme="minorHAnsi"/>
        </w:rPr>
        <w:t xml:space="preserve">funkcji Inspektora Nadzoru Inwestorskiego w pełnym zakresie wynikającym z art. 25 i 26 ustawy z dnia </w:t>
      </w:r>
      <w:r w:rsidRPr="00654C57">
        <w:rPr>
          <w:rFonts w:cstheme="minorHAnsi"/>
        </w:rPr>
        <w:br/>
        <w:t xml:space="preserve">7 lipca 1994 r. Prawo budowlane </w:t>
      </w:r>
      <w:r w:rsidRPr="00654C57">
        <w:rPr>
          <w:rFonts w:eastAsia="Calibri" w:cstheme="minorHAnsi"/>
          <w:color w:val="000000"/>
        </w:rPr>
        <w:t>przy zadaniu inwestycyjnym realizowanym w ramach projektu pn.:</w:t>
      </w:r>
      <w:r w:rsidR="00DF1BC3" w:rsidRPr="00654C57">
        <w:rPr>
          <w:rFonts w:cstheme="minorHAnsi"/>
        </w:rPr>
        <w:t xml:space="preserve"> „</w:t>
      </w:r>
      <w:r w:rsidR="009F4362">
        <w:rPr>
          <w:rFonts w:cstheme="minorHAnsi"/>
        </w:rPr>
        <w:t>Przebudowa</w:t>
      </w:r>
      <w:r w:rsidR="00155DF7">
        <w:rPr>
          <w:rFonts w:cstheme="minorHAnsi"/>
        </w:rPr>
        <w:t xml:space="preserve"> </w:t>
      </w:r>
      <w:r w:rsidR="001A375F">
        <w:rPr>
          <w:rFonts w:cstheme="minorHAnsi"/>
        </w:rPr>
        <w:t>i rozbudowa budynku świetlicy w Jabłonce Starej</w:t>
      </w:r>
      <w:r w:rsidR="00DF1BC3" w:rsidRPr="00654C57">
        <w:rPr>
          <w:rFonts w:cstheme="minorHAnsi"/>
        </w:rPr>
        <w:t xml:space="preserve">” (zwany dalej zadaniem lub Inwestycją).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0B06676B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>nr członkowski …………………</w:t>
      </w:r>
      <w:r>
        <w:rPr>
          <w:rFonts w:eastAsia="Calibri" w:cstheme="minorHAnsi"/>
          <w:color w:val="000000"/>
        </w:rPr>
        <w:t>.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r w:rsidR="002C6854" w:rsidRPr="00654C57">
        <w:rPr>
          <w:rFonts w:cstheme="minorHAnsi"/>
          <w:lang w:val="x-none" w:eastAsia="x-none"/>
        </w:rPr>
        <w:t>akres</w:t>
      </w:r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77777777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 xml:space="preserve">z ustawy z dnia 07 lipca 1994 r. - Prawo budowlane (Dz. U. z 2018 r. poz. 1202 z późn.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lastRenderedPageBreak/>
        <w:t>sprawdzanie i odbiór robót budowlanych ulegających zakryciu lub zanikających, przygotowanie 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</w:t>
      </w:r>
      <w:r w:rsidRPr="00654C57">
        <w:rPr>
          <w:rFonts w:cstheme="minorHAnsi"/>
        </w:rPr>
        <w:lastRenderedPageBreak/>
        <w:t xml:space="preserve">środowiska naturalnego, </w:t>
      </w:r>
    </w:p>
    <w:p w14:paraId="6C0868BC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wydawanie kierownikom budowy lub kierownikom robót poleceń potwierdzonych wpisem do 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>systemów SSWiN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327EE0">
      <w:pPr>
        <w:tabs>
          <w:tab w:val="left" w:pos="288"/>
        </w:tabs>
        <w:suppressAutoHyphens/>
        <w:spacing w:after="0" w:line="240" w:lineRule="auto"/>
        <w:ind w:left="284" w:right="-283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654C5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 xml:space="preserve">włącznie z udziałem w bezusterkowym odbiorze </w:t>
      </w:r>
      <w:r w:rsidR="00D40A58" w:rsidRPr="00654C57">
        <w:rPr>
          <w:rFonts w:cstheme="minorHAnsi"/>
        </w:rPr>
        <w:lastRenderedPageBreak/>
        <w:t>końcowym robót oraz uczestniczył w przeglądach gwarancyjnych w terminach określonych dla nadzorowanych robót budowlanych.</w:t>
      </w:r>
    </w:p>
    <w:p w14:paraId="040AEC1A" w14:textId="3836116A" w:rsidR="00A8192A" w:rsidRDefault="00A8192A" w:rsidP="0016322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</w:rPr>
      </w:pPr>
      <w:r w:rsidRPr="00654C57">
        <w:rPr>
          <w:rFonts w:cstheme="minorHAnsi"/>
        </w:rPr>
        <w:t xml:space="preserve">Zadanie zostanie wykonane najpóźniej do dnia </w:t>
      </w:r>
      <w:r w:rsidR="001A375F">
        <w:rPr>
          <w:rFonts w:cstheme="minorHAnsi"/>
        </w:rPr>
        <w:t>30 listopada</w:t>
      </w:r>
      <w:r w:rsidRPr="00654C57">
        <w:rPr>
          <w:rFonts w:cstheme="minorHAnsi"/>
        </w:rPr>
        <w:t xml:space="preserve"> 202</w:t>
      </w:r>
      <w:r w:rsidR="00327EE0">
        <w:rPr>
          <w:rFonts w:cstheme="minorHAnsi"/>
        </w:rPr>
        <w:t>2</w:t>
      </w:r>
      <w:r w:rsidRPr="00654C57">
        <w:rPr>
          <w:rFonts w:cstheme="minorHAnsi"/>
        </w:rPr>
        <w:t xml:space="preserve"> roku </w:t>
      </w:r>
      <w:r w:rsidR="00163221">
        <w:rPr>
          <w:rFonts w:cstheme="minorHAnsi"/>
        </w:rPr>
        <w:t xml:space="preserve">(termin wykonania określony w umowie na realizację to </w:t>
      </w:r>
      <w:r w:rsidR="001A375F">
        <w:rPr>
          <w:rFonts w:cstheme="minorHAnsi"/>
        </w:rPr>
        <w:t>5</w:t>
      </w:r>
      <w:r w:rsidR="00163221">
        <w:rPr>
          <w:rFonts w:cstheme="minorHAnsi"/>
        </w:rPr>
        <w:t>miesiące od podpisania umowy).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netto w wysokości: …………………………………………...…..zł</w:t>
      </w:r>
    </w:p>
    <w:p w14:paraId="4717C4FA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słownie złotych: …………………………………..…………………………………………</w:t>
      </w:r>
    </w:p>
    <w:p w14:paraId="75EC85C8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brutto w wysokości: …………………………………..…….………….………….. zł</w:t>
      </w:r>
    </w:p>
    <w:p w14:paraId="0DD53721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…………………………………………………………………………… , </w:t>
      </w:r>
    </w:p>
    <w:p w14:paraId="47B0AF00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…… %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</w:p>
    <w:p w14:paraId="60366DD0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po zakończeniu i rozliczeniu robót budowlanych i podpisaniu protokołu końcowego,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5C15C02F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(tekst jednolity: Dz. U. 2020 poz. 106 ze zm.),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w zapłacie.</w:t>
      </w:r>
    </w:p>
    <w:p w14:paraId="69531B3F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(tekst jednolity: Dz. U. 2020 poz. 106 ze zm.)  wyraża zgodę na otrzymywanie faktur elektronicznych (e- faktura). Faktury elektroniczne przekazywane będą Zamawiającemu na adres poczty elektronicznej: administracja@zgierz.sr.gov.pl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usług (tekst jednolity: Dz. U. 2020 poz. 106 ze zm.),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c. wysyłać faktury z adresu poczty elektronicznej: administracja@zgierz.sr.gov.pl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5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77777777" w:rsidR="003B52D4" w:rsidRPr="00654C57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………………………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 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Strony oświadczają, że są czynnymi podatnikami podatku VAT i posiadają numer identyfikacji podatkowej NIP: </w:t>
      </w:r>
    </w:p>
    <w:p w14:paraId="2DD83605" w14:textId="67EC996F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</w:p>
    <w:p w14:paraId="5A9D1C15" w14:textId="77777777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_______________________ </w:t>
      </w:r>
    </w:p>
    <w:p w14:paraId="584B294B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hanging="284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w tym czasie do wystawiania faktur w wartościach netto. </w:t>
      </w:r>
    </w:p>
    <w:p w14:paraId="567C1004" w14:textId="77777777" w:rsidR="009F5F68" w:rsidRPr="00654C57" w:rsidRDefault="009F5F68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3E81288E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 xml:space="preserve">ictwa (Dz.U. z 2016r.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lastRenderedPageBreak/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dopilnować dokonania wzajemnych rozliczeń</w:t>
      </w:r>
    </w:p>
    <w:p w14:paraId="333E7B47" w14:textId="7BFD92F1" w:rsidR="00D40A58" w:rsidRPr="00163221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654C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654C5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44E2F568" w:rsidR="00D40A58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lastRenderedPageBreak/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>Pani Anna Antoszek</w:t>
      </w:r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2019 r. poz. 2019), rozporządzenia Ministra Rozwoju z dnia 26 lipca 2016 r. w sprawie rodzajów dokumentów, jakie może żądać zamawiający od wykonawcy w postępowaniu o udzielenie zamówienia (Dz. U 2016 r. poz. 1126) ustawa </w:t>
      </w:r>
      <w:r w:rsidRPr="00654C57">
        <w:rPr>
          <w:rFonts w:eastAsia="Calibri" w:cstheme="minorHAnsi"/>
        </w:rPr>
        <w:br/>
        <w:t>o narodowym zasobie archiwalnym i archiwach (tj. Dz.U. 2018 r. poz. 217 ze zm.).</w:t>
      </w:r>
    </w:p>
    <w:p w14:paraId="61448B3A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 mówienie publiczne mogą być podmioty, z którymi </w:t>
      </w:r>
      <w:r w:rsidRPr="00654C57">
        <w:rPr>
          <w:rFonts w:cstheme="minorHAnsi"/>
        </w:rPr>
        <w:t>Sąd Rejonowy w Zgierzu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związku z jawnością postępowania o udzielenie zamówienia publicznego Państwa dane mogą być przekazywane do państw z poza EOG z zastrzeżeniem, o którym mowa w punkcie 5 ppkt 2).</w:t>
      </w:r>
    </w:p>
    <w:p w14:paraId="5CD6D9BC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654C57">
      <w:pPr>
        <w:spacing w:after="0" w:line="240" w:lineRule="auto"/>
        <w:ind w:left="360" w:right="-283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77777777" w:rsidR="00E44546" w:rsidRPr="00654C57" w:rsidRDefault="00E44546" w:rsidP="00654C57">
      <w:pPr>
        <w:pStyle w:val="Akapitzlist"/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</w:t>
      </w:r>
      <w:r w:rsidRPr="00654C57">
        <w:rPr>
          <w:rFonts w:eastAsia="Calibri" w:cstheme="minorHAnsi"/>
        </w:rPr>
        <w:lastRenderedPageBreak/>
        <w:t xml:space="preserve">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 (Dz. U 2016 r. poz. 1126).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a) ……….…………………………………….., tel. ……………….., e-mail: ……………………</w:t>
      </w:r>
    </w:p>
    <w:p w14:paraId="46A3179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 ……….…………………………………….., tel. ……………….., e-mail: ……………………</w:t>
      </w:r>
    </w:p>
    <w:p w14:paraId="79CCA65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a) ……….…………………………………….., tel. ……………….., e-mail: ……………………</w:t>
      </w:r>
    </w:p>
    <w:p w14:paraId="137637AC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w powyższym zakresie jest skuteczna z datą otrzymania oświadczenia przez drugą stronę. </w:t>
      </w:r>
    </w:p>
    <w:p w14:paraId="480BF654" w14:textId="7333F6C4" w:rsidR="00675A3A" w:rsidRPr="00163221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Porozumiewanie się stron w sprawach związanych z wykonywaniem przedmiotu umowy odbywać się będzie w drodze korespondencji pisemnej doręczanej adresatom za pokwitowaniem lub 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7777777" w:rsidR="004B4AB2" w:rsidRPr="00654C57" w:rsidRDefault="00E44546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ni też przelać na niego swoich praw wynikających z umowy.</w:t>
      </w:r>
    </w:p>
    <w:p w14:paraId="6BA8E9F9" w14:textId="70594FA7" w:rsidR="00E44546" w:rsidRPr="00654C57" w:rsidRDefault="004B4AB2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03569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95678"/>
    <w:rsid w:val="000C5CB3"/>
    <w:rsid w:val="00155DF7"/>
    <w:rsid w:val="00163221"/>
    <w:rsid w:val="001A375F"/>
    <w:rsid w:val="00281EFE"/>
    <w:rsid w:val="002C6854"/>
    <w:rsid w:val="00327EE0"/>
    <w:rsid w:val="003B52D4"/>
    <w:rsid w:val="003B5770"/>
    <w:rsid w:val="0040486B"/>
    <w:rsid w:val="00432509"/>
    <w:rsid w:val="004B4AB2"/>
    <w:rsid w:val="00654C57"/>
    <w:rsid w:val="00675A3A"/>
    <w:rsid w:val="007C7F05"/>
    <w:rsid w:val="008E042C"/>
    <w:rsid w:val="009F4362"/>
    <w:rsid w:val="009F5F68"/>
    <w:rsid w:val="00A8192A"/>
    <w:rsid w:val="00BE3859"/>
    <w:rsid w:val="00C028BD"/>
    <w:rsid w:val="00D31119"/>
    <w:rsid w:val="00D40A58"/>
    <w:rsid w:val="00DF1BC3"/>
    <w:rsid w:val="00E44546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miedzichowo@post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4074</Words>
  <Characters>24444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6</cp:revision>
  <cp:lastPrinted>2021-05-12T07:57:00Z</cp:lastPrinted>
  <dcterms:created xsi:type="dcterms:W3CDTF">2021-05-05T08:42:00Z</dcterms:created>
  <dcterms:modified xsi:type="dcterms:W3CDTF">2022-04-20T10:23:00Z</dcterms:modified>
</cp:coreProperties>
</file>